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F2" w:rsidRPr="00674B4A" w:rsidRDefault="005E06F2" w:rsidP="005E06F2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800100"/>
            <wp:effectExtent l="19050" t="0" r="9525" b="0"/>
            <wp:docPr id="1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F2" w:rsidRPr="00674B4A" w:rsidRDefault="005E06F2" w:rsidP="005E06F2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КОНТРОЛЬНО-</w:t>
      </w:r>
      <w:r w:rsidRPr="00674B4A">
        <w:rPr>
          <w:sz w:val="24"/>
          <w:szCs w:val="24"/>
        </w:rPr>
        <w:t>Р</w:t>
      </w:r>
      <w:r>
        <w:rPr>
          <w:sz w:val="24"/>
          <w:szCs w:val="24"/>
        </w:rPr>
        <w:t>ЕВИЗИОННАЯ КОМИССИЯ</w:t>
      </w:r>
    </w:p>
    <w:p w:rsidR="005E06F2" w:rsidRPr="00674B4A" w:rsidRDefault="005E06F2" w:rsidP="005E06F2">
      <w:pPr>
        <w:jc w:val="center"/>
        <w:rPr>
          <w:b/>
        </w:rPr>
      </w:pPr>
      <w:r w:rsidRPr="00674B4A">
        <w:rPr>
          <w:b/>
        </w:rPr>
        <w:t xml:space="preserve">   МУНИЦИПАЛЬНОГО ОБРАЗОВАНИЯ</w:t>
      </w:r>
    </w:p>
    <w:p w:rsidR="005E06F2" w:rsidRPr="00674B4A" w:rsidRDefault="005E06F2" w:rsidP="005E06F2">
      <w:pPr>
        <w:jc w:val="center"/>
        <w:rPr>
          <w:b/>
        </w:rPr>
      </w:pPr>
      <w:r w:rsidRPr="00674B4A">
        <w:rPr>
          <w:b/>
        </w:rPr>
        <w:t>« КУРУМКАНСКИЙ РАЙОН»</w:t>
      </w:r>
    </w:p>
    <w:p w:rsidR="005E06F2" w:rsidRPr="00674B4A" w:rsidRDefault="0060106C" w:rsidP="005E06F2">
      <w:pPr>
        <w:jc w:val="center"/>
      </w:pPr>
      <w:r>
        <w:rPr>
          <w:noProof/>
        </w:rPr>
        <w:pict>
          <v:line id="_x0000_s1026" style="position:absolute;left:0;text-align:left;z-index:251658240" from="0,2.4pt" to="477pt,2.4pt" o:allowincell="f" strokeweight="4.5pt">
            <v:stroke linestyle="thinThick"/>
          </v:line>
        </w:pict>
      </w:r>
    </w:p>
    <w:p w:rsidR="005E06F2" w:rsidRPr="00674B4A" w:rsidRDefault="005E06F2" w:rsidP="005E06F2">
      <w:pPr>
        <w:jc w:val="center"/>
        <w:rPr>
          <w:sz w:val="20"/>
          <w:szCs w:val="20"/>
        </w:rPr>
      </w:pPr>
      <w:r w:rsidRPr="00674B4A">
        <w:rPr>
          <w:sz w:val="20"/>
          <w:szCs w:val="20"/>
        </w:rPr>
        <w:t xml:space="preserve">671640, Республика Бурятия, с. Курумкан, ул. </w:t>
      </w:r>
      <w:proofErr w:type="spellStart"/>
      <w:r w:rsidRPr="00674B4A">
        <w:rPr>
          <w:sz w:val="20"/>
          <w:szCs w:val="20"/>
        </w:rPr>
        <w:t>Балдакова</w:t>
      </w:r>
      <w:proofErr w:type="spellEnd"/>
      <w:r w:rsidRPr="00674B4A">
        <w:rPr>
          <w:sz w:val="20"/>
          <w:szCs w:val="20"/>
        </w:rPr>
        <w:t>, 13. Тел.: 8 (249) 41-1-45, факс: 8 (249) 41-3-10</w:t>
      </w:r>
    </w:p>
    <w:p w:rsidR="005E06F2" w:rsidRDefault="005E06F2" w:rsidP="005E06F2">
      <w:pPr>
        <w:spacing w:line="270" w:lineRule="atLeast"/>
        <w:outlineLvl w:val="2"/>
        <w:rPr>
          <w:bCs w:val="0"/>
        </w:rPr>
      </w:pPr>
    </w:p>
    <w:p w:rsidR="005E06F2" w:rsidRPr="00674B4A" w:rsidRDefault="005E06F2" w:rsidP="005E06F2">
      <w:pPr>
        <w:spacing w:line="270" w:lineRule="atLeast"/>
        <w:outlineLvl w:val="2"/>
        <w:rPr>
          <w:bCs w:val="0"/>
        </w:rPr>
      </w:pPr>
    </w:p>
    <w:p w:rsidR="005E06F2" w:rsidRPr="000C02F8" w:rsidRDefault="005E06F2" w:rsidP="005E06F2">
      <w:pPr>
        <w:jc w:val="center"/>
        <w:outlineLvl w:val="2"/>
        <w:rPr>
          <w:bCs w:val="0"/>
          <w:sz w:val="28"/>
          <w:szCs w:val="28"/>
        </w:rPr>
      </w:pPr>
      <w:r w:rsidRPr="000C02F8">
        <w:rPr>
          <w:bCs w:val="0"/>
          <w:sz w:val="28"/>
          <w:szCs w:val="28"/>
        </w:rPr>
        <w:t>ЗАКЛЮЧЕНИЕ</w:t>
      </w:r>
    </w:p>
    <w:p w:rsidR="005E06F2" w:rsidRPr="000C02F8" w:rsidRDefault="005E06F2" w:rsidP="005E06F2">
      <w:pPr>
        <w:jc w:val="center"/>
        <w:outlineLvl w:val="2"/>
        <w:rPr>
          <w:bCs w:val="0"/>
          <w:sz w:val="28"/>
          <w:szCs w:val="28"/>
        </w:rPr>
      </w:pPr>
      <w:r w:rsidRPr="000C02F8">
        <w:rPr>
          <w:bCs w:val="0"/>
          <w:sz w:val="28"/>
          <w:szCs w:val="28"/>
        </w:rPr>
        <w:t>по проекту решения сельского поселения «</w:t>
      </w:r>
      <w:proofErr w:type="spellStart"/>
      <w:r w:rsidR="009D7579">
        <w:rPr>
          <w:bCs w:val="0"/>
          <w:sz w:val="28"/>
          <w:szCs w:val="28"/>
        </w:rPr>
        <w:t>Барагхан</w:t>
      </w:r>
      <w:proofErr w:type="spellEnd"/>
      <w:r w:rsidRPr="000C02F8">
        <w:rPr>
          <w:bCs w:val="0"/>
          <w:sz w:val="28"/>
          <w:szCs w:val="28"/>
        </w:rPr>
        <w:t>»</w:t>
      </w:r>
    </w:p>
    <w:p w:rsidR="005E06F2" w:rsidRPr="000C02F8" w:rsidRDefault="005E06F2" w:rsidP="005E06F2">
      <w:pPr>
        <w:jc w:val="center"/>
        <w:outlineLvl w:val="2"/>
        <w:rPr>
          <w:bCs w:val="0"/>
          <w:sz w:val="28"/>
          <w:szCs w:val="28"/>
        </w:rPr>
      </w:pPr>
      <w:r w:rsidRPr="000C02F8">
        <w:rPr>
          <w:bCs w:val="0"/>
          <w:sz w:val="28"/>
          <w:szCs w:val="28"/>
        </w:rPr>
        <w:t>муниципального образования «</w:t>
      </w:r>
      <w:proofErr w:type="spellStart"/>
      <w:r w:rsidRPr="000C02F8">
        <w:rPr>
          <w:bCs w:val="0"/>
          <w:sz w:val="28"/>
          <w:szCs w:val="28"/>
        </w:rPr>
        <w:t>Курумканский</w:t>
      </w:r>
      <w:proofErr w:type="spellEnd"/>
      <w:r w:rsidRPr="000C02F8">
        <w:rPr>
          <w:bCs w:val="0"/>
          <w:sz w:val="28"/>
          <w:szCs w:val="28"/>
        </w:rPr>
        <w:t xml:space="preserve"> район»</w:t>
      </w:r>
    </w:p>
    <w:p w:rsidR="005E06F2" w:rsidRPr="000C02F8" w:rsidRDefault="005E06F2" w:rsidP="005E06F2">
      <w:pPr>
        <w:tabs>
          <w:tab w:val="left" w:pos="187"/>
        </w:tabs>
        <w:jc w:val="center"/>
        <w:rPr>
          <w:sz w:val="28"/>
          <w:szCs w:val="28"/>
        </w:rPr>
      </w:pPr>
      <w:r w:rsidRPr="000C02F8">
        <w:rPr>
          <w:bCs w:val="0"/>
          <w:sz w:val="28"/>
          <w:szCs w:val="28"/>
        </w:rPr>
        <w:t xml:space="preserve">«Об исполнении бюджета </w:t>
      </w:r>
      <w:r w:rsidRPr="000C02F8">
        <w:rPr>
          <w:sz w:val="28"/>
          <w:szCs w:val="28"/>
        </w:rPr>
        <w:t>муниципального образования</w:t>
      </w:r>
    </w:p>
    <w:p w:rsidR="005E06F2" w:rsidRPr="000C02F8" w:rsidRDefault="005E06F2" w:rsidP="005E06F2">
      <w:pPr>
        <w:tabs>
          <w:tab w:val="left" w:pos="187"/>
        </w:tabs>
        <w:jc w:val="center"/>
        <w:rPr>
          <w:sz w:val="28"/>
          <w:szCs w:val="28"/>
        </w:rPr>
      </w:pPr>
      <w:r w:rsidRPr="000C02F8">
        <w:rPr>
          <w:sz w:val="28"/>
          <w:szCs w:val="28"/>
        </w:rPr>
        <w:t>сельское   поселение «</w:t>
      </w:r>
      <w:proofErr w:type="spellStart"/>
      <w:r w:rsidR="009D7579">
        <w:rPr>
          <w:sz w:val="28"/>
          <w:szCs w:val="28"/>
        </w:rPr>
        <w:t>Барагхан</w:t>
      </w:r>
      <w:proofErr w:type="spellEnd"/>
      <w:r w:rsidRPr="000C02F8">
        <w:rPr>
          <w:sz w:val="28"/>
          <w:szCs w:val="28"/>
        </w:rPr>
        <w:t xml:space="preserve">» за </w:t>
      </w:r>
      <w:r w:rsidR="00834B0C">
        <w:rPr>
          <w:sz w:val="28"/>
          <w:szCs w:val="28"/>
        </w:rPr>
        <w:t>2019</w:t>
      </w:r>
      <w:r w:rsidRPr="000C02F8">
        <w:rPr>
          <w:sz w:val="28"/>
          <w:szCs w:val="28"/>
        </w:rPr>
        <w:t xml:space="preserve"> год»</w:t>
      </w:r>
    </w:p>
    <w:p w:rsidR="005E06F2" w:rsidRPr="000C02F8" w:rsidRDefault="005E06F2" w:rsidP="005E06F2">
      <w:pPr>
        <w:tabs>
          <w:tab w:val="left" w:pos="187"/>
        </w:tabs>
        <w:rPr>
          <w:b/>
          <w:sz w:val="28"/>
          <w:szCs w:val="28"/>
        </w:rPr>
      </w:pPr>
    </w:p>
    <w:p w:rsidR="005E06F2" w:rsidRPr="00380A6F" w:rsidRDefault="005E06F2" w:rsidP="005E06F2">
      <w:pPr>
        <w:tabs>
          <w:tab w:val="left" w:pos="187"/>
        </w:tabs>
        <w:rPr>
          <w:sz w:val="28"/>
          <w:szCs w:val="28"/>
        </w:rPr>
      </w:pPr>
      <w:r w:rsidRPr="00380A6F">
        <w:rPr>
          <w:sz w:val="28"/>
          <w:szCs w:val="28"/>
        </w:rPr>
        <w:t>«</w:t>
      </w:r>
      <w:r w:rsidR="00230148">
        <w:rPr>
          <w:sz w:val="28"/>
          <w:szCs w:val="28"/>
        </w:rPr>
        <w:t>22</w:t>
      </w:r>
      <w:r w:rsidRPr="00380A6F">
        <w:rPr>
          <w:sz w:val="28"/>
          <w:szCs w:val="28"/>
        </w:rPr>
        <w:t xml:space="preserve">»  </w:t>
      </w:r>
      <w:r w:rsidR="00275F4D">
        <w:rPr>
          <w:sz w:val="28"/>
          <w:szCs w:val="28"/>
        </w:rPr>
        <w:t>апреля</w:t>
      </w:r>
      <w:r w:rsidR="00FB5305">
        <w:rPr>
          <w:sz w:val="28"/>
          <w:szCs w:val="28"/>
        </w:rPr>
        <w:t xml:space="preserve"> </w:t>
      </w:r>
      <w:r w:rsidRPr="00380A6F">
        <w:rPr>
          <w:sz w:val="28"/>
          <w:szCs w:val="28"/>
        </w:rPr>
        <w:t xml:space="preserve"> 20</w:t>
      </w:r>
      <w:r w:rsidR="00C86476">
        <w:rPr>
          <w:sz w:val="28"/>
          <w:szCs w:val="28"/>
        </w:rPr>
        <w:t>20</w:t>
      </w:r>
      <w:r w:rsidRPr="00380A6F">
        <w:rPr>
          <w:sz w:val="28"/>
          <w:szCs w:val="28"/>
        </w:rPr>
        <w:t xml:space="preserve"> года                                       </w:t>
      </w:r>
      <w:r w:rsidR="00FB5305">
        <w:rPr>
          <w:sz w:val="28"/>
          <w:szCs w:val="28"/>
        </w:rPr>
        <w:t xml:space="preserve">                               </w:t>
      </w:r>
      <w:r w:rsidRPr="00380A6F">
        <w:rPr>
          <w:sz w:val="28"/>
          <w:szCs w:val="28"/>
        </w:rPr>
        <w:t>с.</w:t>
      </w:r>
      <w:r w:rsidR="00CB3C6B">
        <w:rPr>
          <w:sz w:val="28"/>
          <w:szCs w:val="28"/>
        </w:rPr>
        <w:t xml:space="preserve"> </w:t>
      </w:r>
      <w:r w:rsidRPr="00380A6F">
        <w:rPr>
          <w:sz w:val="28"/>
          <w:szCs w:val="28"/>
        </w:rPr>
        <w:t>Курумкан</w:t>
      </w:r>
    </w:p>
    <w:p w:rsidR="005E06F2" w:rsidRPr="000C02F8" w:rsidRDefault="005E06F2" w:rsidP="005E06F2">
      <w:pPr>
        <w:tabs>
          <w:tab w:val="left" w:pos="187"/>
        </w:tabs>
        <w:rPr>
          <w:b/>
          <w:sz w:val="28"/>
          <w:szCs w:val="28"/>
        </w:rPr>
      </w:pPr>
      <w:r w:rsidRPr="000C02F8">
        <w:rPr>
          <w:b/>
          <w:sz w:val="28"/>
          <w:szCs w:val="28"/>
        </w:rPr>
        <w:t xml:space="preserve">  </w:t>
      </w:r>
    </w:p>
    <w:p w:rsidR="005E06F2" w:rsidRPr="00380A6F" w:rsidRDefault="005E06F2" w:rsidP="005E06F2">
      <w:pPr>
        <w:pStyle w:val="a6"/>
        <w:tabs>
          <w:tab w:val="left" w:pos="0"/>
          <w:tab w:val="left" w:pos="720"/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0C02F8">
        <w:rPr>
          <w:b/>
          <w:sz w:val="28"/>
          <w:szCs w:val="28"/>
        </w:rPr>
        <w:t xml:space="preserve">     </w:t>
      </w:r>
      <w:r w:rsidRPr="000C02F8">
        <w:rPr>
          <w:sz w:val="28"/>
          <w:szCs w:val="28"/>
        </w:rPr>
        <w:t xml:space="preserve">  В соответствии с</w:t>
      </w:r>
      <w:r>
        <w:rPr>
          <w:sz w:val="28"/>
          <w:szCs w:val="28"/>
        </w:rPr>
        <w:t>о</w:t>
      </w:r>
      <w:r w:rsidRPr="000C02F8">
        <w:rPr>
          <w:sz w:val="28"/>
          <w:szCs w:val="28"/>
        </w:rPr>
        <w:t xml:space="preserve"> </w:t>
      </w:r>
      <w:r w:rsidRPr="00973AB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9</w:t>
      </w:r>
      <w:r w:rsidRPr="00973ABA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973ABA">
        <w:rPr>
          <w:sz w:val="28"/>
          <w:szCs w:val="28"/>
        </w:rPr>
        <w:t>2</w:t>
      </w:r>
      <w:r>
        <w:rPr>
          <w:sz w:val="28"/>
          <w:szCs w:val="28"/>
        </w:rPr>
        <w:t xml:space="preserve"> ч.</w:t>
      </w:r>
      <w:r w:rsidRPr="00973ABA">
        <w:rPr>
          <w:sz w:val="28"/>
          <w:szCs w:val="28"/>
        </w:rPr>
        <w:t>2  Закона 6-ФЗ</w:t>
      </w:r>
      <w:r>
        <w:rPr>
          <w:sz w:val="28"/>
          <w:szCs w:val="28"/>
        </w:rPr>
        <w:t>,</w:t>
      </w:r>
      <w:r w:rsidRPr="000C02F8">
        <w:rPr>
          <w:sz w:val="28"/>
          <w:szCs w:val="28"/>
        </w:rPr>
        <w:t xml:space="preserve"> решением районного Совета депутатов № </w:t>
      </w:r>
      <w:r w:rsidR="001D4075">
        <w:rPr>
          <w:sz w:val="28"/>
          <w:szCs w:val="28"/>
          <w:lang w:val="en-US"/>
        </w:rPr>
        <w:t>VIII</w:t>
      </w:r>
      <w:r w:rsidR="001D4075" w:rsidRPr="001D4075">
        <w:rPr>
          <w:sz w:val="28"/>
          <w:szCs w:val="28"/>
        </w:rPr>
        <w:t>-</w:t>
      </w:r>
      <w:r w:rsidR="0042423B">
        <w:rPr>
          <w:sz w:val="28"/>
          <w:szCs w:val="28"/>
        </w:rPr>
        <w:t>4</w:t>
      </w:r>
      <w:r w:rsidRPr="000C02F8">
        <w:rPr>
          <w:sz w:val="28"/>
          <w:szCs w:val="28"/>
        </w:rPr>
        <w:t xml:space="preserve"> от </w:t>
      </w:r>
      <w:r w:rsidR="0042423B">
        <w:rPr>
          <w:sz w:val="28"/>
          <w:szCs w:val="28"/>
        </w:rPr>
        <w:t>26</w:t>
      </w:r>
      <w:r w:rsidRPr="000C02F8">
        <w:rPr>
          <w:sz w:val="28"/>
          <w:szCs w:val="28"/>
        </w:rPr>
        <w:t xml:space="preserve"> декабря 201</w:t>
      </w:r>
      <w:r w:rsidR="0042423B">
        <w:rPr>
          <w:sz w:val="28"/>
          <w:szCs w:val="28"/>
        </w:rPr>
        <w:t>9</w:t>
      </w:r>
      <w:r w:rsidRPr="000C02F8">
        <w:rPr>
          <w:sz w:val="28"/>
          <w:szCs w:val="28"/>
        </w:rPr>
        <w:t xml:space="preserve"> года и заключенными соглашениями №03с-</w:t>
      </w:r>
      <w:r w:rsidR="00897911" w:rsidRPr="00897911">
        <w:rPr>
          <w:sz w:val="28"/>
          <w:szCs w:val="28"/>
        </w:rPr>
        <w:t>6</w:t>
      </w:r>
      <w:r w:rsidRPr="000C02F8">
        <w:rPr>
          <w:sz w:val="28"/>
          <w:szCs w:val="28"/>
        </w:rPr>
        <w:t>-</w:t>
      </w:r>
      <w:r w:rsidR="004E7D95">
        <w:rPr>
          <w:sz w:val="28"/>
          <w:szCs w:val="28"/>
        </w:rPr>
        <w:t>3</w:t>
      </w:r>
      <w:r w:rsidRPr="000C02F8">
        <w:rPr>
          <w:sz w:val="28"/>
          <w:szCs w:val="28"/>
        </w:rPr>
        <w:t>Кб/20</w:t>
      </w:r>
      <w:r w:rsidR="00C86476">
        <w:rPr>
          <w:sz w:val="28"/>
          <w:szCs w:val="28"/>
        </w:rPr>
        <w:t>2</w:t>
      </w:r>
      <w:r w:rsidR="00A96E68">
        <w:rPr>
          <w:sz w:val="28"/>
          <w:szCs w:val="28"/>
        </w:rPr>
        <w:t>0</w:t>
      </w:r>
      <w:r w:rsidRPr="000C02F8">
        <w:rPr>
          <w:sz w:val="28"/>
          <w:szCs w:val="28"/>
        </w:rPr>
        <w:t xml:space="preserve"> сельское поселение «</w:t>
      </w:r>
      <w:proofErr w:type="spellStart"/>
      <w:r w:rsidR="009D7579">
        <w:rPr>
          <w:sz w:val="28"/>
          <w:szCs w:val="28"/>
        </w:rPr>
        <w:t>Барагхан</w:t>
      </w:r>
      <w:proofErr w:type="spellEnd"/>
      <w:r w:rsidRPr="000C02F8">
        <w:rPr>
          <w:sz w:val="28"/>
          <w:szCs w:val="28"/>
        </w:rPr>
        <w:t xml:space="preserve">» передало части полномочий по </w:t>
      </w:r>
      <w:proofErr w:type="gramStart"/>
      <w:r w:rsidRPr="000C02F8">
        <w:rPr>
          <w:sz w:val="28"/>
          <w:szCs w:val="28"/>
        </w:rPr>
        <w:t>контролю за</w:t>
      </w:r>
      <w:proofErr w:type="gramEnd"/>
      <w:r w:rsidRPr="000C02F8">
        <w:rPr>
          <w:sz w:val="28"/>
          <w:szCs w:val="28"/>
        </w:rPr>
        <w:t xml:space="preserve"> исполнением бюджета контрольно ревизионной комиссии районного Совета депутатов. Ревизионной комиссией   Районного Совета депутатов рассмотрен проект решения</w:t>
      </w:r>
      <w:r w:rsidR="00972309">
        <w:rPr>
          <w:sz w:val="28"/>
          <w:szCs w:val="28"/>
        </w:rPr>
        <w:t xml:space="preserve"> </w:t>
      </w:r>
      <w:r w:rsidRPr="000C02F8">
        <w:rPr>
          <w:sz w:val="28"/>
          <w:szCs w:val="28"/>
        </w:rPr>
        <w:t>«Об исполнении бюджета муниципального образования сельское поселение «</w:t>
      </w:r>
      <w:proofErr w:type="spellStart"/>
      <w:r w:rsidR="009D7579">
        <w:rPr>
          <w:sz w:val="28"/>
          <w:szCs w:val="28"/>
        </w:rPr>
        <w:t>Барагхан</w:t>
      </w:r>
      <w:proofErr w:type="spellEnd"/>
      <w:r w:rsidRPr="000C02F8">
        <w:rPr>
          <w:sz w:val="28"/>
          <w:szCs w:val="28"/>
        </w:rPr>
        <w:t>» за 201</w:t>
      </w:r>
      <w:r w:rsidR="00463DA7">
        <w:rPr>
          <w:sz w:val="28"/>
          <w:szCs w:val="28"/>
        </w:rPr>
        <w:t>9</w:t>
      </w:r>
      <w:r w:rsidRPr="000C02F8">
        <w:rPr>
          <w:sz w:val="28"/>
          <w:szCs w:val="28"/>
        </w:rPr>
        <w:t xml:space="preserve"> год » представленный с пояснительной запиской и направленный в </w:t>
      </w:r>
      <w:r w:rsidR="00230148">
        <w:rPr>
          <w:sz w:val="28"/>
          <w:szCs w:val="28"/>
        </w:rPr>
        <w:t>Контрольно-ревизионную комиссию</w:t>
      </w:r>
      <w:r w:rsidRPr="000C02F8">
        <w:rPr>
          <w:sz w:val="28"/>
          <w:szCs w:val="28"/>
        </w:rPr>
        <w:t>.</w:t>
      </w:r>
    </w:p>
    <w:p w:rsidR="005E06F2" w:rsidRPr="000C02F8" w:rsidRDefault="005E06F2" w:rsidP="005E06F2">
      <w:pPr>
        <w:tabs>
          <w:tab w:val="left" w:pos="187"/>
        </w:tabs>
        <w:jc w:val="both"/>
        <w:rPr>
          <w:sz w:val="28"/>
          <w:szCs w:val="28"/>
        </w:rPr>
      </w:pPr>
    </w:p>
    <w:p w:rsidR="005E06F2" w:rsidRDefault="005E06F2" w:rsidP="005E06F2">
      <w:pPr>
        <w:pStyle w:val="a8"/>
        <w:numPr>
          <w:ilvl w:val="0"/>
          <w:numId w:val="1"/>
        </w:numPr>
        <w:tabs>
          <w:tab w:val="left" w:pos="187"/>
        </w:tabs>
        <w:jc w:val="both"/>
        <w:rPr>
          <w:b/>
          <w:sz w:val="28"/>
          <w:szCs w:val="28"/>
        </w:rPr>
      </w:pPr>
      <w:r w:rsidRPr="000C02F8">
        <w:rPr>
          <w:b/>
          <w:sz w:val="28"/>
          <w:szCs w:val="28"/>
        </w:rPr>
        <w:t>Доходы бюджета сельского поселения</w:t>
      </w:r>
    </w:p>
    <w:p w:rsidR="001E695F" w:rsidRPr="000C02F8" w:rsidRDefault="001E695F" w:rsidP="001E695F">
      <w:pPr>
        <w:pStyle w:val="a8"/>
        <w:tabs>
          <w:tab w:val="left" w:pos="187"/>
        </w:tabs>
        <w:ind w:left="1620"/>
        <w:jc w:val="both"/>
        <w:rPr>
          <w:b/>
          <w:sz w:val="28"/>
          <w:szCs w:val="28"/>
        </w:rPr>
      </w:pPr>
    </w:p>
    <w:p w:rsidR="005E06F2" w:rsidRPr="000C02F8" w:rsidRDefault="005E06F2" w:rsidP="004E5993">
      <w:pPr>
        <w:jc w:val="both"/>
        <w:outlineLvl w:val="2"/>
        <w:rPr>
          <w:bCs w:val="0"/>
          <w:sz w:val="28"/>
          <w:szCs w:val="28"/>
        </w:rPr>
      </w:pPr>
      <w:r w:rsidRPr="000C02F8">
        <w:rPr>
          <w:bCs w:val="0"/>
          <w:sz w:val="28"/>
          <w:szCs w:val="28"/>
        </w:rPr>
        <w:t xml:space="preserve">1.1. За </w:t>
      </w:r>
      <w:r w:rsidR="00834B0C">
        <w:rPr>
          <w:bCs w:val="0"/>
          <w:sz w:val="28"/>
          <w:szCs w:val="28"/>
        </w:rPr>
        <w:t>2019</w:t>
      </w:r>
      <w:r w:rsidRPr="000C02F8">
        <w:rPr>
          <w:bCs w:val="0"/>
          <w:sz w:val="28"/>
          <w:szCs w:val="28"/>
        </w:rPr>
        <w:t xml:space="preserve"> год доходы бюджета муниципального образования сельское поселение «</w:t>
      </w:r>
      <w:proofErr w:type="spellStart"/>
      <w:r w:rsidR="009D7579">
        <w:rPr>
          <w:bCs w:val="0"/>
          <w:sz w:val="28"/>
          <w:szCs w:val="28"/>
        </w:rPr>
        <w:t>Барагхан</w:t>
      </w:r>
      <w:proofErr w:type="spellEnd"/>
      <w:r w:rsidRPr="000C02F8">
        <w:rPr>
          <w:bCs w:val="0"/>
          <w:sz w:val="28"/>
          <w:szCs w:val="28"/>
        </w:rPr>
        <w:t>» (далее – сельское поселение)  исполнены в сумме</w:t>
      </w:r>
      <w:r w:rsidR="00327E34">
        <w:rPr>
          <w:bCs w:val="0"/>
          <w:sz w:val="28"/>
          <w:szCs w:val="28"/>
        </w:rPr>
        <w:t xml:space="preserve">   </w:t>
      </w:r>
      <w:r w:rsidR="004E7D95">
        <w:rPr>
          <w:bCs w:val="0"/>
          <w:sz w:val="28"/>
          <w:szCs w:val="28"/>
        </w:rPr>
        <w:t>5554637,48</w:t>
      </w:r>
      <w:r w:rsidRPr="000C02F8">
        <w:rPr>
          <w:bCs w:val="0"/>
          <w:sz w:val="28"/>
          <w:szCs w:val="28"/>
        </w:rPr>
        <w:t xml:space="preserve"> рублей</w:t>
      </w:r>
      <w:r w:rsidR="001D2BBE">
        <w:rPr>
          <w:bCs w:val="0"/>
          <w:sz w:val="28"/>
          <w:szCs w:val="28"/>
        </w:rPr>
        <w:t>.</w:t>
      </w:r>
      <w:r w:rsidR="00487493">
        <w:rPr>
          <w:bCs w:val="0"/>
          <w:sz w:val="28"/>
          <w:szCs w:val="28"/>
        </w:rPr>
        <w:t xml:space="preserve"> </w:t>
      </w:r>
      <w:r w:rsidRPr="000C02F8">
        <w:rPr>
          <w:bCs w:val="0"/>
          <w:sz w:val="28"/>
          <w:szCs w:val="28"/>
        </w:rPr>
        <w:t xml:space="preserve">Уточненный годовой план по доходам исполнен </w:t>
      </w:r>
      <w:r w:rsidR="00487493">
        <w:rPr>
          <w:bCs w:val="0"/>
          <w:sz w:val="28"/>
          <w:szCs w:val="28"/>
        </w:rPr>
        <w:t xml:space="preserve"> </w:t>
      </w:r>
      <w:r w:rsidRPr="000C02F8">
        <w:rPr>
          <w:bCs w:val="0"/>
          <w:sz w:val="28"/>
          <w:szCs w:val="28"/>
        </w:rPr>
        <w:t xml:space="preserve">на </w:t>
      </w:r>
      <w:r>
        <w:rPr>
          <w:bCs w:val="0"/>
          <w:sz w:val="28"/>
          <w:szCs w:val="28"/>
        </w:rPr>
        <w:t xml:space="preserve"> </w:t>
      </w:r>
      <w:r w:rsidR="001B7B76">
        <w:rPr>
          <w:bCs w:val="0"/>
          <w:sz w:val="28"/>
          <w:szCs w:val="28"/>
        </w:rPr>
        <w:t>98,3</w:t>
      </w:r>
      <w:r w:rsidRPr="000C02F8">
        <w:rPr>
          <w:bCs w:val="0"/>
          <w:sz w:val="28"/>
          <w:szCs w:val="28"/>
        </w:rPr>
        <w:t xml:space="preserve">  %.   </w:t>
      </w:r>
    </w:p>
    <w:p w:rsidR="001D4075" w:rsidRDefault="005E06F2" w:rsidP="005E06F2">
      <w:pPr>
        <w:jc w:val="both"/>
        <w:rPr>
          <w:sz w:val="28"/>
          <w:szCs w:val="28"/>
        </w:rPr>
      </w:pPr>
      <w:r w:rsidRPr="000C02F8">
        <w:rPr>
          <w:sz w:val="28"/>
          <w:szCs w:val="28"/>
        </w:rPr>
        <w:t xml:space="preserve">1.2.  Объем доходов бюджета сельского поселения на </w:t>
      </w:r>
      <w:r w:rsidR="00834B0C">
        <w:rPr>
          <w:sz w:val="28"/>
          <w:szCs w:val="28"/>
        </w:rPr>
        <w:t>2019</w:t>
      </w:r>
      <w:r w:rsidRPr="000C02F8">
        <w:rPr>
          <w:sz w:val="28"/>
          <w:szCs w:val="28"/>
        </w:rPr>
        <w:t xml:space="preserve"> год был утвержден</w:t>
      </w:r>
      <w:r w:rsidR="001D4075">
        <w:rPr>
          <w:sz w:val="28"/>
          <w:szCs w:val="28"/>
        </w:rPr>
        <w:t xml:space="preserve"> с учетом уточнения</w:t>
      </w:r>
      <w:r w:rsidRPr="000C02F8">
        <w:rPr>
          <w:sz w:val="28"/>
          <w:szCs w:val="28"/>
        </w:rPr>
        <w:t xml:space="preserve"> в сумме </w:t>
      </w:r>
      <w:r w:rsidR="001B7B76">
        <w:rPr>
          <w:sz w:val="28"/>
          <w:szCs w:val="28"/>
        </w:rPr>
        <w:t>6971404,0</w:t>
      </w:r>
      <w:r w:rsidRPr="000C02F8">
        <w:rPr>
          <w:sz w:val="28"/>
          <w:szCs w:val="28"/>
        </w:rPr>
        <w:t xml:space="preserve"> рублей. </w:t>
      </w:r>
    </w:p>
    <w:p w:rsidR="00BF1F57" w:rsidRDefault="005E06F2" w:rsidP="005E06F2">
      <w:pPr>
        <w:jc w:val="both"/>
        <w:rPr>
          <w:sz w:val="28"/>
          <w:szCs w:val="28"/>
        </w:rPr>
      </w:pPr>
      <w:r w:rsidRPr="000C02F8">
        <w:rPr>
          <w:sz w:val="28"/>
          <w:szCs w:val="28"/>
        </w:rPr>
        <w:t xml:space="preserve">1.3. Налоговые и не налоговые доходы исполнены на </w:t>
      </w:r>
      <w:r w:rsidR="002A5CB7">
        <w:rPr>
          <w:sz w:val="28"/>
          <w:szCs w:val="28"/>
        </w:rPr>
        <w:t xml:space="preserve"> </w:t>
      </w:r>
      <w:r w:rsidR="000418B1">
        <w:rPr>
          <w:sz w:val="28"/>
          <w:szCs w:val="28"/>
        </w:rPr>
        <w:t xml:space="preserve"> </w:t>
      </w:r>
      <w:r w:rsidR="00033B5E">
        <w:rPr>
          <w:sz w:val="28"/>
          <w:szCs w:val="28"/>
        </w:rPr>
        <w:t>5650,52</w:t>
      </w:r>
      <w:r w:rsidR="001D4075">
        <w:rPr>
          <w:sz w:val="28"/>
          <w:szCs w:val="28"/>
        </w:rPr>
        <w:t xml:space="preserve">   </w:t>
      </w:r>
      <w:r w:rsidR="000418B1">
        <w:rPr>
          <w:sz w:val="28"/>
          <w:szCs w:val="28"/>
        </w:rPr>
        <w:t xml:space="preserve"> </w:t>
      </w:r>
      <w:r w:rsidR="00845329">
        <w:rPr>
          <w:sz w:val="28"/>
          <w:szCs w:val="28"/>
        </w:rPr>
        <w:t xml:space="preserve"> </w:t>
      </w:r>
      <w:r w:rsidRPr="000C02F8">
        <w:rPr>
          <w:sz w:val="28"/>
          <w:szCs w:val="28"/>
        </w:rPr>
        <w:t xml:space="preserve">руб. </w:t>
      </w:r>
      <w:r w:rsidR="00487493">
        <w:rPr>
          <w:sz w:val="28"/>
          <w:szCs w:val="28"/>
        </w:rPr>
        <w:t xml:space="preserve"> </w:t>
      </w:r>
      <w:r w:rsidRPr="000C02F8">
        <w:rPr>
          <w:sz w:val="28"/>
          <w:szCs w:val="28"/>
        </w:rPr>
        <w:t>или</w:t>
      </w:r>
      <w:r w:rsidR="00487493">
        <w:rPr>
          <w:sz w:val="28"/>
          <w:szCs w:val="28"/>
        </w:rPr>
        <w:t xml:space="preserve">  </w:t>
      </w:r>
      <w:r w:rsidRPr="000C02F8">
        <w:rPr>
          <w:sz w:val="28"/>
          <w:szCs w:val="28"/>
        </w:rPr>
        <w:t xml:space="preserve"> </w:t>
      </w:r>
      <w:r w:rsidR="00E26593">
        <w:rPr>
          <w:sz w:val="28"/>
          <w:szCs w:val="28"/>
        </w:rPr>
        <w:t xml:space="preserve">на </w:t>
      </w:r>
      <w:r w:rsidR="00033B5E">
        <w:rPr>
          <w:sz w:val="28"/>
          <w:szCs w:val="28"/>
        </w:rPr>
        <w:t>101,7</w:t>
      </w:r>
      <w:r w:rsidRPr="000C02F8">
        <w:rPr>
          <w:sz w:val="28"/>
          <w:szCs w:val="28"/>
        </w:rPr>
        <w:t xml:space="preserve"> % от годового плана.</w:t>
      </w:r>
      <w:r w:rsidR="004C2F70">
        <w:rPr>
          <w:sz w:val="28"/>
          <w:szCs w:val="28"/>
        </w:rPr>
        <w:t xml:space="preserve"> </w:t>
      </w:r>
    </w:p>
    <w:p w:rsidR="00045E51" w:rsidRDefault="00490863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Сравнительный анализ налоговых и неналоговых доходов, поступивших </w:t>
      </w:r>
      <w:r w:rsidR="00834B0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="009E4017">
        <w:rPr>
          <w:sz w:val="28"/>
          <w:szCs w:val="28"/>
        </w:rPr>
        <w:t>у</w:t>
      </w:r>
      <w:r>
        <w:rPr>
          <w:sz w:val="28"/>
          <w:szCs w:val="28"/>
        </w:rPr>
        <w:t xml:space="preserve"> к соответствующему годовому плану, приведен в таблице.</w:t>
      </w:r>
      <w:r w:rsidR="00045E51">
        <w:rPr>
          <w:sz w:val="28"/>
          <w:szCs w:val="28"/>
        </w:rPr>
        <w:t xml:space="preserve">                                                                                                 </w:t>
      </w:r>
    </w:p>
    <w:p w:rsidR="001D4075" w:rsidRDefault="00045E51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2634B" w:rsidRDefault="001D4075" w:rsidP="001D4075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CB7304">
        <w:rPr>
          <w:sz w:val="28"/>
          <w:szCs w:val="28"/>
        </w:rPr>
        <w:t xml:space="preserve">                     </w:t>
      </w:r>
      <w:r w:rsidR="00045E51" w:rsidRPr="00045E51">
        <w:t>руб.</w:t>
      </w:r>
    </w:p>
    <w:p w:rsidR="00911DEB" w:rsidRDefault="00911DEB" w:rsidP="001D4075">
      <w:pPr>
        <w:jc w:val="center"/>
      </w:pPr>
    </w:p>
    <w:p w:rsidR="00911DEB" w:rsidRPr="00045E51" w:rsidRDefault="00911DEB" w:rsidP="001D4075">
      <w:pPr>
        <w:jc w:val="center"/>
      </w:pPr>
    </w:p>
    <w:tbl>
      <w:tblPr>
        <w:tblW w:w="9924" w:type="dxa"/>
        <w:tblInd w:w="-318" w:type="dxa"/>
        <w:tblLayout w:type="fixed"/>
        <w:tblLook w:val="04A0"/>
      </w:tblPr>
      <w:tblGrid>
        <w:gridCol w:w="5671"/>
        <w:gridCol w:w="1843"/>
        <w:gridCol w:w="1276"/>
        <w:gridCol w:w="1134"/>
      </w:tblGrid>
      <w:tr w:rsidR="009E4017" w:rsidRPr="003660DE" w:rsidTr="00867C53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17" w:rsidRPr="00627604" w:rsidRDefault="009E4017" w:rsidP="00867C53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17" w:rsidRPr="00C90170" w:rsidRDefault="009E4017" w:rsidP="00867C53">
            <w:pPr>
              <w:jc w:val="right"/>
              <w:rPr>
                <w:i/>
                <w:sz w:val="20"/>
                <w:szCs w:val="20"/>
              </w:rPr>
            </w:pPr>
            <w:r w:rsidRPr="00C90170">
              <w:rPr>
                <w:i/>
                <w:sz w:val="20"/>
                <w:szCs w:val="20"/>
              </w:rPr>
              <w:t>( в  рублях)</w:t>
            </w:r>
          </w:p>
        </w:tc>
      </w:tr>
      <w:tr w:rsidR="009E4017" w:rsidRPr="009C6831" w:rsidTr="00867C53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jc w:val="center"/>
              <w:rPr>
                <w:bCs w:val="0"/>
              </w:rPr>
            </w:pPr>
            <w:r w:rsidRPr="009C6831"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jc w:val="center"/>
              <w:rPr>
                <w:bCs w:val="0"/>
                <w:i/>
              </w:rPr>
            </w:pPr>
            <w:r w:rsidRPr="009C6831">
              <w:rPr>
                <w:i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bCs w:val="0"/>
                <w:i/>
              </w:rPr>
            </w:pPr>
            <w:r w:rsidRPr="009C6831">
              <w:rPr>
                <w:i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bCs w:val="0"/>
                <w:i/>
              </w:rPr>
            </w:pPr>
            <w:r w:rsidRPr="009C6831">
              <w:rPr>
                <w:i/>
              </w:rPr>
              <w:t>%исполнения</w:t>
            </w:r>
          </w:p>
        </w:tc>
      </w:tr>
      <w:tr w:rsidR="009E4017" w:rsidRPr="009C6831" w:rsidTr="00867C53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rPr>
                <w:bCs w:val="0"/>
              </w:rPr>
            </w:pPr>
            <w:r w:rsidRPr="009C6831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jc w:val="center"/>
              <w:rPr>
                <w:bCs w:val="0"/>
                <w:i/>
              </w:rPr>
            </w:pPr>
            <w:r w:rsidRPr="009C6831">
              <w:rPr>
                <w:i/>
              </w:rPr>
              <w:t>5554,63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bCs w:val="0"/>
                <w:i/>
              </w:rPr>
            </w:pPr>
            <w:r w:rsidRPr="009C6831">
              <w:rPr>
                <w:i/>
              </w:rPr>
              <w:t>5650,52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bCs w:val="0"/>
                <w:i/>
              </w:rPr>
            </w:pPr>
            <w:r w:rsidRPr="009C6831">
              <w:rPr>
                <w:i/>
              </w:rPr>
              <w:t>101,7</w:t>
            </w:r>
          </w:p>
        </w:tc>
      </w:tr>
      <w:tr w:rsidR="009E4017" w:rsidRPr="009C6831" w:rsidTr="00867C53">
        <w:trPr>
          <w:trHeight w:val="4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rPr>
                <w:b/>
                <w:bCs w:val="0"/>
              </w:rPr>
            </w:pPr>
            <w:r w:rsidRPr="009C6831"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jc w:val="center"/>
              <w:rPr>
                <w:b/>
                <w:bCs w:val="0"/>
                <w:i/>
              </w:rPr>
            </w:pPr>
            <w:r w:rsidRPr="009C6831">
              <w:rPr>
                <w:b/>
                <w:i/>
              </w:rPr>
              <w:t>56,09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b/>
                <w:bCs w:val="0"/>
                <w:i/>
              </w:rPr>
            </w:pPr>
            <w:r w:rsidRPr="009C6831">
              <w:rPr>
                <w:b/>
                <w:i/>
              </w:rPr>
              <w:t>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b/>
                <w:bCs w:val="0"/>
                <w:i/>
              </w:rPr>
            </w:pPr>
            <w:r w:rsidRPr="009C6831">
              <w:rPr>
                <w:b/>
                <w:i/>
              </w:rPr>
              <w:t>106,3</w:t>
            </w:r>
          </w:p>
        </w:tc>
      </w:tr>
      <w:tr w:rsidR="009E4017" w:rsidRPr="009C6831" w:rsidTr="00867C53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17" w:rsidRPr="009C6831" w:rsidRDefault="009E4017" w:rsidP="00867C53">
            <w:r w:rsidRPr="009C683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103,1</w:t>
            </w:r>
          </w:p>
        </w:tc>
      </w:tr>
      <w:tr w:rsidR="009E4017" w:rsidRPr="009C6831" w:rsidTr="00867C53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17" w:rsidRPr="009C6831" w:rsidRDefault="009E4017" w:rsidP="00867C53">
            <w:r w:rsidRPr="009C6831">
              <w:t xml:space="preserve">Единый  сельскохозяйственный 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11,89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14,04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118,08</w:t>
            </w:r>
          </w:p>
        </w:tc>
      </w:tr>
      <w:tr w:rsidR="009E4017" w:rsidRPr="009C6831" w:rsidTr="00867C53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rPr>
                <w:b/>
                <w:bCs w:val="0"/>
              </w:rPr>
            </w:pPr>
            <w:r w:rsidRPr="009C6831"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jc w:val="center"/>
              <w:rPr>
                <w:b/>
                <w:bCs w:val="0"/>
                <w:i/>
              </w:rPr>
            </w:pPr>
            <w:r w:rsidRPr="009C6831">
              <w:rPr>
                <w:b/>
                <w:i/>
              </w:rPr>
              <w:t>595,53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b/>
                <w:i/>
              </w:rPr>
            </w:pPr>
            <w:r w:rsidRPr="009C6831">
              <w:rPr>
                <w:b/>
                <w:i/>
              </w:rPr>
              <w:t>687,84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b/>
                <w:i/>
              </w:rPr>
            </w:pPr>
            <w:r w:rsidRPr="009C6831">
              <w:rPr>
                <w:b/>
                <w:i/>
              </w:rPr>
              <w:t>115,5</w:t>
            </w:r>
          </w:p>
        </w:tc>
      </w:tr>
      <w:tr w:rsidR="009E4017" w:rsidRPr="009C6831" w:rsidTr="00867C53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9E4017">
            <w:pPr>
              <w:ind w:firstLineChars="17" w:firstLine="41"/>
              <w:outlineLvl w:val="0"/>
            </w:pPr>
            <w:proofErr w:type="gramStart"/>
            <w:r w:rsidRPr="009C683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bCs w:val="0"/>
                <w:i/>
              </w:rPr>
            </w:pPr>
            <w:r w:rsidRPr="009C6831">
              <w:rPr>
                <w:i/>
              </w:rPr>
              <w:t>75,48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bCs w:val="0"/>
                <w:i/>
              </w:rPr>
            </w:pPr>
            <w:r w:rsidRPr="009C6831">
              <w:rPr>
                <w:i/>
              </w:rPr>
              <w:t>128,6</w:t>
            </w:r>
          </w:p>
        </w:tc>
      </w:tr>
      <w:tr w:rsidR="009E4017" w:rsidRPr="009C6831" w:rsidTr="00867C53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r w:rsidRPr="009C683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100,7</w:t>
            </w:r>
          </w:p>
        </w:tc>
      </w:tr>
      <w:tr w:rsidR="009E4017" w:rsidRPr="009C6831" w:rsidTr="00867C53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r w:rsidRPr="009C683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531,4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606,89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114,2</w:t>
            </w:r>
          </w:p>
        </w:tc>
      </w:tr>
      <w:tr w:rsidR="009E4017" w:rsidRPr="009C6831" w:rsidTr="00867C53">
        <w:trPr>
          <w:trHeight w:val="8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17" w:rsidRPr="009C6831" w:rsidRDefault="009E4017" w:rsidP="00867C53">
            <w:pPr>
              <w:rPr>
                <w:b/>
                <w:bCs w:val="0"/>
              </w:rPr>
            </w:pPr>
            <w:r w:rsidRPr="009C6831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17" w:rsidRPr="009C6831" w:rsidRDefault="009E4017" w:rsidP="00867C53">
            <w:pPr>
              <w:jc w:val="center"/>
              <w:rPr>
                <w:b/>
                <w:bCs w:val="0"/>
                <w:i/>
              </w:rPr>
            </w:pPr>
            <w:r w:rsidRPr="009C6831">
              <w:rPr>
                <w:b/>
                <w:i/>
              </w:rPr>
              <w:t>21,18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b/>
                <w:i/>
              </w:rPr>
            </w:pPr>
            <w:r w:rsidRPr="009C6831">
              <w:rPr>
                <w:b/>
                <w:i/>
              </w:rPr>
              <w:t>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b/>
                <w:i/>
              </w:rPr>
            </w:pPr>
            <w:r w:rsidRPr="009C6831">
              <w:rPr>
                <w:b/>
                <w:i/>
              </w:rPr>
              <w:t>99,8</w:t>
            </w:r>
          </w:p>
        </w:tc>
      </w:tr>
      <w:tr w:rsidR="009E4017" w:rsidRPr="009C6831" w:rsidTr="00867C53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17" w:rsidRPr="009C6831" w:rsidRDefault="009E4017" w:rsidP="00867C53">
            <w:r w:rsidRPr="009C6831"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17" w:rsidRPr="009C6831" w:rsidRDefault="009E4017" w:rsidP="00867C53">
            <w:pPr>
              <w:jc w:val="center"/>
              <w:rPr>
                <w:bCs w:val="0"/>
                <w:i/>
              </w:rPr>
            </w:pPr>
            <w:r w:rsidRPr="009C6831">
              <w:rPr>
                <w:i/>
              </w:rPr>
              <w:t>21,18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i/>
              </w:rPr>
            </w:pPr>
            <w:r w:rsidRPr="009C6831">
              <w:rPr>
                <w:i/>
              </w:rPr>
              <w:t>21,14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17" w:rsidRPr="009C6831" w:rsidRDefault="009E4017" w:rsidP="00867C53">
            <w:pPr>
              <w:jc w:val="center"/>
              <w:rPr>
                <w:bCs w:val="0"/>
                <w:i/>
              </w:rPr>
            </w:pPr>
            <w:r w:rsidRPr="009C6831">
              <w:rPr>
                <w:i/>
              </w:rPr>
              <w:t>99,8</w:t>
            </w:r>
          </w:p>
        </w:tc>
      </w:tr>
    </w:tbl>
    <w:p w:rsidR="00016DE0" w:rsidRDefault="00016DE0" w:rsidP="00016DE0">
      <w:pPr>
        <w:ind w:left="-1134"/>
        <w:jc w:val="both"/>
        <w:rPr>
          <w:color w:val="FF0000"/>
        </w:rPr>
      </w:pPr>
    </w:p>
    <w:p w:rsidR="00277914" w:rsidRPr="006932E1" w:rsidRDefault="00BF1F57" w:rsidP="005E06F2">
      <w:pPr>
        <w:jc w:val="both"/>
        <w:rPr>
          <w:sz w:val="28"/>
          <w:szCs w:val="28"/>
        </w:rPr>
      </w:pPr>
      <w:r w:rsidRPr="00BE74C6">
        <w:rPr>
          <w:sz w:val="28"/>
          <w:szCs w:val="28"/>
        </w:rPr>
        <w:t xml:space="preserve">Фактическое исполнение по налоговым и неналоговым доходам превышают плановые назначения на </w:t>
      </w:r>
      <w:r w:rsidR="00EF04D7">
        <w:rPr>
          <w:sz w:val="28"/>
          <w:szCs w:val="28"/>
        </w:rPr>
        <w:t>101,</w:t>
      </w:r>
      <w:r w:rsidR="00B93EB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E74C6">
        <w:rPr>
          <w:sz w:val="28"/>
          <w:szCs w:val="28"/>
        </w:rPr>
        <w:t>%.</w:t>
      </w:r>
    </w:p>
    <w:p w:rsidR="00277914" w:rsidRDefault="00486683" w:rsidP="00B9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77914" w:rsidRDefault="00277914" w:rsidP="00FC60A9">
      <w:pPr>
        <w:jc w:val="both"/>
        <w:rPr>
          <w:sz w:val="28"/>
          <w:szCs w:val="28"/>
        </w:rPr>
      </w:pPr>
    </w:p>
    <w:p w:rsidR="005E06F2" w:rsidRDefault="005E06F2" w:rsidP="005E06F2">
      <w:pPr>
        <w:jc w:val="both"/>
        <w:rPr>
          <w:sz w:val="28"/>
          <w:szCs w:val="28"/>
        </w:rPr>
      </w:pPr>
      <w:r w:rsidRPr="000324DC">
        <w:rPr>
          <w:sz w:val="28"/>
          <w:szCs w:val="28"/>
        </w:rPr>
        <w:t xml:space="preserve">1.5. Безвозмездные поступления в бюджет сельского поселения  в </w:t>
      </w:r>
      <w:r w:rsidR="00834B0C">
        <w:rPr>
          <w:sz w:val="28"/>
          <w:szCs w:val="28"/>
        </w:rPr>
        <w:t>2019</w:t>
      </w:r>
      <w:r w:rsidRPr="000324DC">
        <w:rPr>
          <w:sz w:val="28"/>
          <w:szCs w:val="28"/>
        </w:rPr>
        <w:t xml:space="preserve"> году составили </w:t>
      </w:r>
      <w:r w:rsidR="00486683">
        <w:rPr>
          <w:sz w:val="28"/>
          <w:szCs w:val="28"/>
        </w:rPr>
        <w:t xml:space="preserve">  </w:t>
      </w:r>
      <w:r w:rsidR="00B93EB0">
        <w:rPr>
          <w:sz w:val="28"/>
          <w:szCs w:val="28"/>
        </w:rPr>
        <w:t>4881,83</w:t>
      </w:r>
      <w:r w:rsidR="0000172B">
        <w:rPr>
          <w:sz w:val="28"/>
          <w:szCs w:val="28"/>
        </w:rPr>
        <w:t xml:space="preserve">  </w:t>
      </w:r>
      <w:r w:rsidR="00FC44A0">
        <w:rPr>
          <w:sz w:val="28"/>
          <w:szCs w:val="28"/>
        </w:rPr>
        <w:t>руб.</w:t>
      </w:r>
      <w:r w:rsidRPr="000324DC">
        <w:rPr>
          <w:sz w:val="28"/>
          <w:szCs w:val="28"/>
        </w:rPr>
        <w:t xml:space="preserve">, что составляет </w:t>
      </w:r>
      <w:r w:rsidR="006945C7">
        <w:rPr>
          <w:sz w:val="28"/>
          <w:szCs w:val="28"/>
        </w:rPr>
        <w:t>100,0</w:t>
      </w:r>
      <w:r w:rsidR="00AD5144">
        <w:rPr>
          <w:sz w:val="28"/>
          <w:szCs w:val="28"/>
        </w:rPr>
        <w:t xml:space="preserve"> </w:t>
      </w:r>
      <w:r w:rsidRPr="000324DC">
        <w:rPr>
          <w:sz w:val="28"/>
          <w:szCs w:val="28"/>
        </w:rPr>
        <w:t>% от годового в том числе:</w:t>
      </w:r>
    </w:p>
    <w:p w:rsidR="005E06F2" w:rsidRDefault="005E06F2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Дотации</w:t>
      </w:r>
      <w:r>
        <w:rPr>
          <w:sz w:val="28"/>
          <w:szCs w:val="28"/>
        </w:rPr>
        <w:t xml:space="preserve"> поступили в сумме </w:t>
      </w:r>
      <w:r w:rsidR="00B93EB0">
        <w:rPr>
          <w:sz w:val="28"/>
          <w:szCs w:val="28"/>
        </w:rPr>
        <w:t>3,7</w:t>
      </w:r>
      <w:r w:rsidR="001D021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5E06F2" w:rsidRDefault="005E06F2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Субвенции </w:t>
      </w:r>
      <w:r>
        <w:rPr>
          <w:sz w:val="28"/>
          <w:szCs w:val="28"/>
        </w:rPr>
        <w:t xml:space="preserve">в сумме </w:t>
      </w:r>
      <w:r w:rsidR="001D021D">
        <w:rPr>
          <w:sz w:val="28"/>
          <w:szCs w:val="28"/>
        </w:rPr>
        <w:t>130,7 тыс.</w:t>
      </w:r>
      <w:r>
        <w:rPr>
          <w:sz w:val="28"/>
          <w:szCs w:val="28"/>
        </w:rPr>
        <w:t xml:space="preserve"> рублей.</w:t>
      </w:r>
    </w:p>
    <w:p w:rsidR="00B73A0F" w:rsidRPr="00E277C3" w:rsidRDefault="00B73A0F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7C3">
        <w:rPr>
          <w:b/>
          <w:sz w:val="28"/>
          <w:szCs w:val="28"/>
        </w:rPr>
        <w:t xml:space="preserve">Межбюджетные трансферты </w:t>
      </w:r>
      <w:r w:rsidR="00E277C3">
        <w:rPr>
          <w:sz w:val="28"/>
          <w:szCs w:val="28"/>
        </w:rPr>
        <w:t xml:space="preserve">в сумме </w:t>
      </w:r>
      <w:r w:rsidR="001D021D">
        <w:rPr>
          <w:sz w:val="28"/>
          <w:szCs w:val="28"/>
        </w:rPr>
        <w:t>9,3 тыс.</w:t>
      </w:r>
      <w:r w:rsidR="004A7C7C">
        <w:rPr>
          <w:sz w:val="28"/>
          <w:szCs w:val="28"/>
        </w:rPr>
        <w:t xml:space="preserve"> </w:t>
      </w:r>
      <w:r w:rsidR="00E277C3">
        <w:rPr>
          <w:sz w:val="28"/>
          <w:szCs w:val="28"/>
        </w:rPr>
        <w:t>рублей.</w:t>
      </w:r>
    </w:p>
    <w:p w:rsidR="00D81743" w:rsidRDefault="005E06F2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5024">
        <w:rPr>
          <w:b/>
          <w:sz w:val="28"/>
          <w:szCs w:val="28"/>
        </w:rPr>
        <w:t>Прочие безвозмездные поступления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1D021D">
        <w:rPr>
          <w:sz w:val="28"/>
          <w:szCs w:val="28"/>
        </w:rPr>
        <w:t>4738,13 тыс.</w:t>
      </w:r>
      <w:r>
        <w:rPr>
          <w:sz w:val="28"/>
          <w:szCs w:val="28"/>
        </w:rPr>
        <w:t xml:space="preserve"> рубле</w:t>
      </w:r>
      <w:r w:rsidR="00D81743">
        <w:rPr>
          <w:sz w:val="28"/>
          <w:szCs w:val="28"/>
        </w:rPr>
        <w:t>й.</w:t>
      </w:r>
    </w:p>
    <w:p w:rsidR="001F463B" w:rsidRDefault="001F463B" w:rsidP="005E06F2">
      <w:pPr>
        <w:jc w:val="both"/>
        <w:rPr>
          <w:b/>
          <w:sz w:val="28"/>
          <w:szCs w:val="28"/>
        </w:rPr>
      </w:pPr>
    </w:p>
    <w:p w:rsidR="005E06F2" w:rsidRPr="00D81743" w:rsidRDefault="005E06F2" w:rsidP="005E06F2">
      <w:pPr>
        <w:jc w:val="both"/>
        <w:rPr>
          <w:sz w:val="28"/>
          <w:szCs w:val="28"/>
        </w:rPr>
      </w:pPr>
      <w:r w:rsidRPr="003E6B7D">
        <w:rPr>
          <w:b/>
          <w:sz w:val="28"/>
          <w:szCs w:val="28"/>
        </w:rPr>
        <w:t>2. Расходы бюджета сельского поселения</w:t>
      </w:r>
    </w:p>
    <w:p w:rsidR="005E06F2" w:rsidRDefault="005E06F2" w:rsidP="005E06F2">
      <w:pPr>
        <w:jc w:val="both"/>
        <w:rPr>
          <w:b/>
          <w:sz w:val="28"/>
          <w:szCs w:val="28"/>
        </w:rPr>
      </w:pPr>
    </w:p>
    <w:p w:rsidR="008D0CF2" w:rsidRDefault="005E06F2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 </w:t>
      </w:r>
      <w:r w:rsidR="00834B0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бюджет сельского поселения по расходам исполнен в сумме</w:t>
      </w:r>
      <w:r w:rsidR="008D0CF2">
        <w:rPr>
          <w:sz w:val="28"/>
          <w:szCs w:val="28"/>
        </w:rPr>
        <w:t xml:space="preserve"> </w:t>
      </w:r>
    </w:p>
    <w:p w:rsidR="005E06F2" w:rsidRDefault="00AD6667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5567622,22</w:t>
      </w:r>
      <w:r w:rsidR="001B4E58">
        <w:rPr>
          <w:sz w:val="28"/>
          <w:szCs w:val="28"/>
        </w:rPr>
        <w:t xml:space="preserve">    </w:t>
      </w:r>
      <w:r w:rsidR="000B2114">
        <w:rPr>
          <w:sz w:val="28"/>
          <w:szCs w:val="28"/>
        </w:rPr>
        <w:t xml:space="preserve">  </w:t>
      </w:r>
      <w:r w:rsidR="005E06F2">
        <w:rPr>
          <w:sz w:val="28"/>
          <w:szCs w:val="28"/>
        </w:rPr>
        <w:t xml:space="preserve">рублей или на </w:t>
      </w:r>
      <w:r>
        <w:rPr>
          <w:sz w:val="28"/>
          <w:szCs w:val="28"/>
        </w:rPr>
        <w:t>98,9</w:t>
      </w:r>
      <w:r w:rsidR="00186204">
        <w:rPr>
          <w:sz w:val="28"/>
          <w:szCs w:val="28"/>
        </w:rPr>
        <w:t xml:space="preserve"> </w:t>
      </w:r>
      <w:r w:rsidR="00CC1526">
        <w:rPr>
          <w:sz w:val="28"/>
          <w:szCs w:val="28"/>
        </w:rPr>
        <w:t>% к уточненному годовому плану</w:t>
      </w:r>
      <w:r w:rsidR="005D0895">
        <w:rPr>
          <w:sz w:val="28"/>
          <w:szCs w:val="28"/>
        </w:rPr>
        <w:t>.</w:t>
      </w:r>
      <w:r w:rsidR="005E06F2">
        <w:rPr>
          <w:sz w:val="28"/>
          <w:szCs w:val="28"/>
        </w:rPr>
        <w:t xml:space="preserve">       За </w:t>
      </w:r>
      <w:r w:rsidR="00834B0C">
        <w:rPr>
          <w:sz w:val="28"/>
          <w:szCs w:val="28"/>
        </w:rPr>
        <w:t>2019</w:t>
      </w:r>
      <w:r w:rsidR="005E06F2">
        <w:rPr>
          <w:sz w:val="28"/>
          <w:szCs w:val="28"/>
        </w:rPr>
        <w:t xml:space="preserve"> год исполнение к уточненному годовому плану по разделам составило:</w:t>
      </w:r>
    </w:p>
    <w:p w:rsidR="005E06F2" w:rsidRDefault="005E06F2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«Общегосударственные вопросы» - </w:t>
      </w:r>
      <w:r w:rsidR="00B65A6D">
        <w:rPr>
          <w:sz w:val="28"/>
          <w:szCs w:val="28"/>
        </w:rPr>
        <w:t>99,</w:t>
      </w:r>
      <w:r w:rsidR="001B22B0">
        <w:rPr>
          <w:sz w:val="28"/>
          <w:szCs w:val="28"/>
        </w:rPr>
        <w:t xml:space="preserve"> </w:t>
      </w:r>
      <w:r w:rsidR="00C65ABF">
        <w:rPr>
          <w:sz w:val="28"/>
          <w:szCs w:val="28"/>
        </w:rPr>
        <w:t>9</w:t>
      </w:r>
      <w:r w:rsidR="002D1083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:rsidR="005E06F2" w:rsidRPr="00F65EEE" w:rsidRDefault="007C6813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CD3728">
        <w:rPr>
          <w:sz w:val="28"/>
          <w:szCs w:val="28"/>
        </w:rPr>
        <w:t>100</w:t>
      </w:r>
      <w:r w:rsidR="00B65A6D">
        <w:rPr>
          <w:sz w:val="28"/>
          <w:szCs w:val="28"/>
        </w:rPr>
        <w:t>,00</w:t>
      </w:r>
      <w:r w:rsidR="005E06F2">
        <w:rPr>
          <w:sz w:val="28"/>
          <w:szCs w:val="28"/>
        </w:rPr>
        <w:t>%.</w:t>
      </w:r>
    </w:p>
    <w:p w:rsidR="005E06F2" w:rsidRPr="006966BD" w:rsidRDefault="00CD3728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B65A6D">
        <w:rPr>
          <w:sz w:val="28"/>
          <w:szCs w:val="28"/>
        </w:rPr>
        <w:t>100,00</w:t>
      </w:r>
      <w:r w:rsidR="005E06F2" w:rsidRPr="006966BD">
        <w:rPr>
          <w:sz w:val="28"/>
          <w:szCs w:val="28"/>
        </w:rPr>
        <w:t>%</w:t>
      </w:r>
      <w:r w:rsidR="005E06F2">
        <w:rPr>
          <w:sz w:val="28"/>
          <w:szCs w:val="28"/>
        </w:rPr>
        <w:t>.</w:t>
      </w:r>
    </w:p>
    <w:p w:rsidR="005E06F2" w:rsidRDefault="005E06F2" w:rsidP="005E06F2">
      <w:pPr>
        <w:jc w:val="both"/>
        <w:rPr>
          <w:sz w:val="28"/>
          <w:szCs w:val="28"/>
        </w:rPr>
      </w:pPr>
      <w:r w:rsidRPr="006966BD">
        <w:rPr>
          <w:sz w:val="28"/>
          <w:szCs w:val="28"/>
        </w:rPr>
        <w:t>- «</w:t>
      </w:r>
      <w:r>
        <w:rPr>
          <w:sz w:val="28"/>
          <w:szCs w:val="28"/>
        </w:rPr>
        <w:t>Жилищно-коммунальное хозяйство</w:t>
      </w:r>
      <w:r w:rsidRPr="006966BD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="002D1083">
        <w:rPr>
          <w:sz w:val="28"/>
          <w:szCs w:val="28"/>
        </w:rPr>
        <w:t>91,93</w:t>
      </w:r>
      <w:r>
        <w:rPr>
          <w:sz w:val="28"/>
          <w:szCs w:val="28"/>
        </w:rPr>
        <w:t>%.</w:t>
      </w:r>
    </w:p>
    <w:p w:rsidR="005E06F2" w:rsidRDefault="005E06F2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>- «Культура кинематография, средства массовой информации» - 100%.</w:t>
      </w:r>
    </w:p>
    <w:p w:rsidR="005E06F2" w:rsidRDefault="005E06F2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Социальная</w:t>
      </w:r>
      <w:proofErr w:type="gramEnd"/>
      <w:r>
        <w:rPr>
          <w:sz w:val="28"/>
          <w:szCs w:val="28"/>
        </w:rPr>
        <w:t xml:space="preserve"> </w:t>
      </w:r>
      <w:r w:rsidR="00FD134F">
        <w:rPr>
          <w:sz w:val="28"/>
          <w:szCs w:val="28"/>
        </w:rPr>
        <w:t>выплаты</w:t>
      </w:r>
      <w:r>
        <w:rPr>
          <w:sz w:val="28"/>
          <w:szCs w:val="28"/>
        </w:rPr>
        <w:t>» - 100 %.</w:t>
      </w:r>
    </w:p>
    <w:p w:rsidR="005E06F2" w:rsidRDefault="005E06F2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«Физическая культура и спорт» - 100%. </w:t>
      </w:r>
    </w:p>
    <w:p w:rsidR="00417F4B" w:rsidRDefault="00417F4B" w:rsidP="005E06F2">
      <w:pPr>
        <w:jc w:val="both"/>
        <w:rPr>
          <w:sz w:val="28"/>
          <w:szCs w:val="28"/>
        </w:rPr>
      </w:pPr>
    </w:p>
    <w:p w:rsidR="001C565F" w:rsidRDefault="001C565F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расходов по разделам приведен в следующей таблице:</w:t>
      </w:r>
    </w:p>
    <w:tbl>
      <w:tblPr>
        <w:tblW w:w="9371" w:type="dxa"/>
        <w:tblInd w:w="93" w:type="dxa"/>
        <w:tblBorders>
          <w:top w:val="single" w:sz="4" w:space="0" w:color="auto"/>
        </w:tblBorders>
        <w:tblLayout w:type="fixed"/>
        <w:tblLook w:val="0000"/>
      </w:tblPr>
      <w:tblGrid>
        <w:gridCol w:w="9371"/>
      </w:tblGrid>
      <w:tr w:rsidR="00A07EF7" w:rsidTr="00FE2B31">
        <w:trPr>
          <w:trHeight w:val="100"/>
        </w:trPr>
        <w:tc>
          <w:tcPr>
            <w:tcW w:w="9371" w:type="dxa"/>
            <w:tcBorders>
              <w:top w:val="single" w:sz="4" w:space="0" w:color="auto"/>
              <w:right w:val="single" w:sz="4" w:space="0" w:color="auto"/>
            </w:tcBorders>
          </w:tcPr>
          <w:p w:rsidR="00A07EF7" w:rsidRDefault="00A07EF7" w:rsidP="00A07EF7">
            <w:pPr>
              <w:jc w:val="both"/>
              <w:rPr>
                <w:sz w:val="28"/>
                <w:szCs w:val="28"/>
              </w:rPr>
            </w:pPr>
          </w:p>
        </w:tc>
      </w:tr>
    </w:tbl>
    <w:p w:rsidR="005E06F2" w:rsidRDefault="001C565F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923" w:type="dxa"/>
        <w:tblInd w:w="-601" w:type="dxa"/>
        <w:tblLayout w:type="fixed"/>
        <w:tblLook w:val="04A0"/>
      </w:tblPr>
      <w:tblGrid>
        <w:gridCol w:w="1077"/>
        <w:gridCol w:w="4452"/>
        <w:gridCol w:w="1701"/>
        <w:gridCol w:w="1701"/>
        <w:gridCol w:w="992"/>
      </w:tblGrid>
      <w:tr w:rsidR="00AD6667" w:rsidRPr="009C6831" w:rsidTr="00867C53">
        <w:trPr>
          <w:trHeight w:val="4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667" w:rsidRPr="009C6831" w:rsidRDefault="00AD6667" w:rsidP="00867C53">
            <w:pPr>
              <w:jc w:val="center"/>
              <w:rPr>
                <w:bCs w:val="0"/>
              </w:rPr>
            </w:pPr>
            <w:r w:rsidRPr="009C6831">
              <w:t>Код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667" w:rsidRPr="009C6831" w:rsidRDefault="00AD6667" w:rsidP="00867C53">
            <w:pPr>
              <w:jc w:val="center"/>
              <w:rPr>
                <w:bCs w:val="0"/>
              </w:rPr>
            </w:pPr>
            <w:r w:rsidRPr="009C6831">
              <w:t>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67" w:rsidRPr="009C6831" w:rsidRDefault="00AD6667" w:rsidP="00867C53">
            <w:pPr>
              <w:jc w:val="center"/>
              <w:rPr>
                <w:bCs w:val="0"/>
              </w:rPr>
            </w:pPr>
            <w:r w:rsidRPr="009C6831">
              <w:t>Утверждено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7" w:rsidRPr="009C6831" w:rsidRDefault="00AD6667" w:rsidP="00867C53">
            <w:pPr>
              <w:jc w:val="center"/>
              <w:rPr>
                <w:bCs w:val="0"/>
              </w:rPr>
            </w:pPr>
            <w:r w:rsidRPr="009C6831"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7" w:rsidRPr="009C6831" w:rsidRDefault="00AD6667" w:rsidP="00867C53">
            <w:pPr>
              <w:jc w:val="center"/>
              <w:rPr>
                <w:bCs w:val="0"/>
              </w:rPr>
            </w:pPr>
            <w:r w:rsidRPr="009C6831">
              <w:t>%исполнения</w:t>
            </w:r>
          </w:p>
        </w:tc>
      </w:tr>
      <w:tr w:rsidR="00AD6667" w:rsidRPr="009C6831" w:rsidTr="00867C53">
        <w:trPr>
          <w:trHeight w:val="409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  <w:rPr>
                <w:b/>
                <w:bCs w:val="0"/>
              </w:rPr>
            </w:pPr>
            <w:r w:rsidRPr="009C6831">
              <w:rPr>
                <w:b/>
              </w:rPr>
              <w:t>0100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67" w:rsidRPr="009C6831" w:rsidRDefault="00AD6667" w:rsidP="00867C53">
            <w:pPr>
              <w:rPr>
                <w:b/>
                <w:bCs w:val="0"/>
              </w:rPr>
            </w:pPr>
            <w:r w:rsidRPr="009C6831">
              <w:rPr>
                <w:b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7" w:rsidRPr="009C6831" w:rsidRDefault="00AD6667" w:rsidP="00867C53">
            <w:pPr>
              <w:jc w:val="right"/>
              <w:rPr>
                <w:b/>
                <w:bCs w:val="0"/>
              </w:rPr>
            </w:pPr>
            <w:r w:rsidRPr="009C6831">
              <w:rPr>
                <w:b/>
              </w:rPr>
              <w:t>3 068 430,3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7" w:rsidRPr="009C6831" w:rsidRDefault="00AD6667" w:rsidP="00867C53">
            <w:pPr>
              <w:jc w:val="right"/>
              <w:rPr>
                <w:b/>
                <w:bCs w:val="0"/>
              </w:rPr>
            </w:pPr>
            <w:r w:rsidRPr="009C6831">
              <w:rPr>
                <w:b/>
              </w:rPr>
              <w:t>3 041 317,73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7" w:rsidRPr="009C6831" w:rsidRDefault="00AD6667" w:rsidP="00867C53">
            <w:pPr>
              <w:jc w:val="right"/>
              <w:rPr>
                <w:b/>
                <w:bCs w:val="0"/>
              </w:rPr>
            </w:pPr>
            <w:r w:rsidRPr="009C6831">
              <w:rPr>
                <w:b/>
              </w:rPr>
              <w:t>99,99</w:t>
            </w:r>
          </w:p>
        </w:tc>
      </w:tr>
      <w:tr w:rsidR="00AD6667" w:rsidRPr="009C6831" w:rsidTr="00867C53">
        <w:trPr>
          <w:trHeight w:val="99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</w:pPr>
            <w:r w:rsidRPr="009C6831">
              <w:t>0102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67" w:rsidRPr="009C6831" w:rsidRDefault="00AD6667" w:rsidP="00867C53">
            <w:r w:rsidRPr="009C683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854 184,87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854 184,87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7" w:rsidRPr="009C6831" w:rsidRDefault="00AD6667" w:rsidP="00867C53">
            <w:pPr>
              <w:jc w:val="right"/>
            </w:pPr>
            <w:r w:rsidRPr="009C6831">
              <w:t>100,00</w:t>
            </w:r>
          </w:p>
        </w:tc>
      </w:tr>
      <w:tr w:rsidR="00AD6667" w:rsidRPr="009C6831" w:rsidTr="00867C53">
        <w:trPr>
          <w:trHeight w:val="55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</w:pPr>
            <w:r w:rsidRPr="009C6831">
              <w:t>0104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67" w:rsidRPr="009C6831" w:rsidRDefault="00AD6667" w:rsidP="00867C53">
            <w:r w:rsidRPr="009C683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1 875 867,16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1 848 754,59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7" w:rsidRPr="009C6831" w:rsidRDefault="00AD6667" w:rsidP="00867C53">
            <w:pPr>
              <w:jc w:val="right"/>
            </w:pPr>
            <w:r w:rsidRPr="009C6831">
              <w:t>100,00</w:t>
            </w:r>
          </w:p>
        </w:tc>
      </w:tr>
      <w:tr w:rsidR="00AD6667" w:rsidRPr="009C6831" w:rsidTr="00867C53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</w:pPr>
            <w:r w:rsidRPr="009C6831">
              <w:t>0113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667" w:rsidRPr="009C6831" w:rsidRDefault="00AD6667" w:rsidP="00867C53">
            <w:r w:rsidRPr="009C6831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338 378,27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</w:pPr>
            <w:r w:rsidRPr="009C6831">
              <w:t>338 378,27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</w:pPr>
            <w:r w:rsidRPr="009C6831">
              <w:t>100,00</w:t>
            </w:r>
          </w:p>
        </w:tc>
      </w:tr>
      <w:tr w:rsidR="00AD6667" w:rsidRPr="009C6831" w:rsidTr="00867C53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  <w:rPr>
                <w:b/>
                <w:bCs w:val="0"/>
              </w:rPr>
            </w:pPr>
            <w:r w:rsidRPr="009C6831">
              <w:rPr>
                <w:b/>
              </w:rPr>
              <w:t>0200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667" w:rsidRPr="009C6831" w:rsidRDefault="00AD6667" w:rsidP="00867C53">
            <w:pPr>
              <w:rPr>
                <w:b/>
                <w:bCs w:val="0"/>
              </w:rPr>
            </w:pPr>
            <w:r w:rsidRPr="009C6831">
              <w:rPr>
                <w:b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right"/>
              <w:rPr>
                <w:b/>
                <w:bCs w:val="0"/>
              </w:rPr>
            </w:pPr>
            <w:r w:rsidRPr="009C6831">
              <w:rPr>
                <w:b/>
              </w:rPr>
              <w:t>130 700,0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  <w:rPr>
                <w:b/>
              </w:rPr>
            </w:pPr>
            <w:r w:rsidRPr="009C6831">
              <w:rPr>
                <w:b/>
              </w:rPr>
              <w:t>130 700,00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  <w:rPr>
                <w:b/>
                <w:bCs w:val="0"/>
                <w:color w:val="000000"/>
              </w:rPr>
            </w:pPr>
            <w:r w:rsidRPr="009C6831">
              <w:rPr>
                <w:b/>
                <w:color w:val="000000"/>
              </w:rPr>
              <w:t>100,00</w:t>
            </w:r>
          </w:p>
        </w:tc>
      </w:tr>
      <w:tr w:rsidR="00AD6667" w:rsidRPr="009C6831" w:rsidTr="00867C53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</w:pPr>
            <w:r w:rsidRPr="009C6831">
              <w:t>0203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667" w:rsidRPr="009C6831" w:rsidRDefault="00AD6667" w:rsidP="00867C53">
            <w:r w:rsidRPr="009C6831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130 700,00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</w:pPr>
            <w:r w:rsidRPr="009C6831">
              <w:t>130 700,00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  <w:rPr>
                <w:bCs w:val="0"/>
                <w:color w:val="000000"/>
              </w:rPr>
            </w:pPr>
            <w:r w:rsidRPr="009C6831">
              <w:rPr>
                <w:color w:val="000000"/>
              </w:rPr>
              <w:t>100,00</w:t>
            </w:r>
          </w:p>
        </w:tc>
      </w:tr>
      <w:tr w:rsidR="00AD6667" w:rsidRPr="009C6831" w:rsidTr="00867C53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  <w:rPr>
                <w:b/>
                <w:bCs w:val="0"/>
              </w:rPr>
            </w:pPr>
            <w:r w:rsidRPr="009C6831">
              <w:rPr>
                <w:b/>
              </w:rPr>
              <w:t>0500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667" w:rsidRPr="009C6831" w:rsidRDefault="00AD6667" w:rsidP="00867C53">
            <w:pPr>
              <w:rPr>
                <w:b/>
                <w:bCs w:val="0"/>
              </w:rPr>
            </w:pPr>
            <w:r w:rsidRPr="009C6831">
              <w:rPr>
                <w:b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right"/>
              <w:rPr>
                <w:b/>
                <w:bCs w:val="0"/>
              </w:rPr>
            </w:pPr>
            <w:r w:rsidRPr="009C6831">
              <w:rPr>
                <w:b/>
              </w:rPr>
              <w:t>516 303,12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  <w:rPr>
                <w:b/>
              </w:rPr>
            </w:pPr>
            <w:r w:rsidRPr="009C6831">
              <w:rPr>
                <w:b/>
              </w:rPr>
              <w:t>516 303,12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  <w:rPr>
                <w:b/>
              </w:rPr>
            </w:pPr>
            <w:r w:rsidRPr="009C6831">
              <w:rPr>
                <w:b/>
              </w:rPr>
              <w:t>100</w:t>
            </w:r>
          </w:p>
        </w:tc>
      </w:tr>
      <w:tr w:rsidR="00AD6667" w:rsidRPr="009C6831" w:rsidTr="00867C53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</w:pPr>
            <w:r w:rsidRPr="009C6831">
              <w:t>0503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667" w:rsidRPr="009C6831" w:rsidRDefault="00AD6667" w:rsidP="00867C53">
            <w:r w:rsidRPr="009C6831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515 303,12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</w:pPr>
            <w:r w:rsidRPr="009C6831">
              <w:t>515 303,12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</w:pPr>
            <w:r w:rsidRPr="009C6831">
              <w:t>100,00</w:t>
            </w:r>
          </w:p>
        </w:tc>
      </w:tr>
      <w:tr w:rsidR="00AD6667" w:rsidRPr="009C6831" w:rsidTr="00867C53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</w:pPr>
            <w:r w:rsidRPr="009C6831">
              <w:t>0505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667" w:rsidRPr="009C6831" w:rsidRDefault="00AD6667" w:rsidP="00867C53">
            <w:r w:rsidRPr="009C6831"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right"/>
            </w:pPr>
            <w:r w:rsidRPr="009C6831"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100,00</w:t>
            </w:r>
          </w:p>
        </w:tc>
      </w:tr>
      <w:tr w:rsidR="00AD6667" w:rsidRPr="009C6831" w:rsidTr="00867C53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  <w:rPr>
                <w:b/>
                <w:bCs w:val="0"/>
              </w:rPr>
            </w:pPr>
            <w:r w:rsidRPr="009C6831">
              <w:rPr>
                <w:b/>
              </w:rPr>
              <w:t>0800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667" w:rsidRPr="009C6831" w:rsidRDefault="00AD6667" w:rsidP="00867C53">
            <w:pPr>
              <w:rPr>
                <w:b/>
                <w:bCs w:val="0"/>
              </w:rPr>
            </w:pPr>
            <w:r w:rsidRPr="009C6831">
              <w:rPr>
                <w:b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6667" w:rsidRPr="009C6831" w:rsidRDefault="00AD6667" w:rsidP="00867C53">
            <w:pPr>
              <w:jc w:val="right"/>
              <w:rPr>
                <w:b/>
                <w:bCs w:val="0"/>
              </w:rPr>
            </w:pPr>
            <w:r w:rsidRPr="009C6831">
              <w:rPr>
                <w:b/>
              </w:rPr>
              <w:t>1 722 530,51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67" w:rsidRPr="009C6831" w:rsidRDefault="00AD6667" w:rsidP="00867C53">
            <w:pPr>
              <w:jc w:val="right"/>
              <w:rPr>
                <w:b/>
                <w:bCs w:val="0"/>
              </w:rPr>
            </w:pPr>
            <w:r w:rsidRPr="009C6831">
              <w:rPr>
                <w:b/>
              </w:rPr>
              <w:t>1 722 530,51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  <w:rPr>
                <w:b/>
              </w:rPr>
            </w:pPr>
            <w:r w:rsidRPr="009C6831">
              <w:rPr>
                <w:b/>
              </w:rPr>
              <w:t>100,00</w:t>
            </w:r>
          </w:p>
        </w:tc>
      </w:tr>
      <w:tr w:rsidR="00AD6667" w:rsidRPr="009C6831" w:rsidTr="00867C53">
        <w:trPr>
          <w:trHeight w:val="24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</w:pPr>
            <w:r w:rsidRPr="009C6831">
              <w:t xml:space="preserve">0801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667" w:rsidRPr="009C6831" w:rsidRDefault="00AD6667" w:rsidP="00867C53">
            <w:r w:rsidRPr="009C6831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1 722 530,51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1 722 530,51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</w:pPr>
            <w:r w:rsidRPr="009C6831">
              <w:t>100,00</w:t>
            </w:r>
          </w:p>
        </w:tc>
      </w:tr>
      <w:tr w:rsidR="00AD6667" w:rsidRPr="009C6831" w:rsidTr="00867C53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  <w:rPr>
                <w:b/>
                <w:bCs w:val="0"/>
              </w:rPr>
            </w:pPr>
            <w:r w:rsidRPr="009C6831">
              <w:rPr>
                <w:b/>
              </w:rPr>
              <w:t>1000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667" w:rsidRPr="009C6831" w:rsidRDefault="00AD6667" w:rsidP="00867C53">
            <w:pPr>
              <w:rPr>
                <w:b/>
                <w:bCs w:val="0"/>
              </w:rPr>
            </w:pPr>
            <w:r w:rsidRPr="009C6831">
              <w:rPr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right"/>
              <w:rPr>
                <w:b/>
                <w:bCs w:val="0"/>
              </w:rPr>
            </w:pPr>
            <w:r w:rsidRPr="009C6831">
              <w:rPr>
                <w:b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  <w:rPr>
                <w:b/>
              </w:rPr>
            </w:pPr>
            <w:r w:rsidRPr="009C6831">
              <w:rPr>
                <w:b/>
              </w:rPr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  <w:rPr>
                <w:b/>
              </w:rPr>
            </w:pPr>
            <w:r w:rsidRPr="009C6831">
              <w:rPr>
                <w:b/>
              </w:rPr>
              <w:t>100,00</w:t>
            </w:r>
          </w:p>
        </w:tc>
      </w:tr>
      <w:tr w:rsidR="00AD6667" w:rsidRPr="009C6831" w:rsidTr="00867C53">
        <w:trPr>
          <w:trHeight w:val="21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</w:pPr>
            <w:r w:rsidRPr="009C6831">
              <w:t>1001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667" w:rsidRPr="009C6831" w:rsidRDefault="00AD6667" w:rsidP="00867C53">
            <w:r w:rsidRPr="009C6831"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</w:pPr>
            <w:r w:rsidRPr="009C6831"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</w:pPr>
            <w:r w:rsidRPr="009C6831">
              <w:t>100,00</w:t>
            </w:r>
          </w:p>
        </w:tc>
      </w:tr>
      <w:tr w:rsidR="00AD6667" w:rsidRPr="009C6831" w:rsidTr="00867C53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</w:pPr>
            <w:r w:rsidRPr="009C6831">
              <w:t>1003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667" w:rsidRPr="009C6831" w:rsidRDefault="00AD6667" w:rsidP="00867C53">
            <w:r w:rsidRPr="009C6831"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</w:pPr>
            <w:r w:rsidRPr="009C6831"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67" w:rsidRPr="009C6831" w:rsidRDefault="00AD6667" w:rsidP="00867C53">
            <w:pPr>
              <w:jc w:val="right"/>
            </w:pPr>
            <w:r w:rsidRPr="009C6831">
              <w:t>100,00</w:t>
            </w:r>
          </w:p>
        </w:tc>
      </w:tr>
      <w:tr w:rsidR="00AD6667" w:rsidRPr="009C6831" w:rsidTr="00867C53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center"/>
              <w:rPr>
                <w:b/>
              </w:rPr>
            </w:pPr>
            <w:r w:rsidRPr="009C6831">
              <w:rPr>
                <w:b/>
              </w:rPr>
              <w:t>1102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667" w:rsidRPr="009C6831" w:rsidRDefault="00AD6667" w:rsidP="00867C53">
            <w:pPr>
              <w:rPr>
                <w:b/>
              </w:rPr>
            </w:pPr>
            <w:r w:rsidRPr="009C6831">
              <w:rPr>
                <w:b/>
              </w:rPr>
              <w:t>ФК и 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667" w:rsidRPr="009C6831" w:rsidRDefault="00AD6667" w:rsidP="00867C53">
            <w:pPr>
              <w:jc w:val="right"/>
              <w:rPr>
                <w:b/>
                <w:bCs w:val="0"/>
              </w:rPr>
            </w:pPr>
            <w:r w:rsidRPr="009C6831">
              <w:rPr>
                <w:b/>
              </w:rPr>
              <w:t>12233,08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667" w:rsidRPr="009C6831" w:rsidRDefault="00AD6667" w:rsidP="00867C53">
            <w:pPr>
              <w:jc w:val="right"/>
              <w:rPr>
                <w:b/>
                <w:bCs w:val="0"/>
              </w:rPr>
            </w:pPr>
            <w:r w:rsidRPr="009C6831">
              <w:rPr>
                <w:b/>
              </w:rPr>
              <w:t>12233,08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67" w:rsidRPr="009C6831" w:rsidRDefault="00AD6667" w:rsidP="00867C53">
            <w:pPr>
              <w:jc w:val="right"/>
              <w:rPr>
                <w:b/>
              </w:rPr>
            </w:pPr>
            <w:r w:rsidRPr="009C6831">
              <w:rPr>
                <w:b/>
              </w:rPr>
              <w:t>100</w:t>
            </w:r>
          </w:p>
        </w:tc>
      </w:tr>
      <w:tr w:rsidR="00AD6667" w:rsidRPr="009C6831" w:rsidTr="00867C53">
        <w:trPr>
          <w:trHeight w:val="21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667" w:rsidRPr="009C6831" w:rsidRDefault="00AD6667" w:rsidP="00867C53">
            <w:pPr>
              <w:jc w:val="center"/>
            </w:pPr>
            <w:r w:rsidRPr="009C6831"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667" w:rsidRPr="009C6831" w:rsidRDefault="00AD6667" w:rsidP="00867C53">
            <w:pPr>
              <w:jc w:val="center"/>
              <w:rPr>
                <w:bCs w:val="0"/>
              </w:rPr>
            </w:pPr>
            <w:r w:rsidRPr="009C6831"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5627 597,01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667" w:rsidRPr="009C6831" w:rsidRDefault="00AD6667" w:rsidP="00867C53">
            <w:pPr>
              <w:jc w:val="right"/>
              <w:rPr>
                <w:bCs w:val="0"/>
              </w:rPr>
            </w:pPr>
            <w:r w:rsidRPr="009C6831">
              <w:t>6 379 608,02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67" w:rsidRPr="009C6831" w:rsidRDefault="00AD6667" w:rsidP="00867C53">
            <w:pPr>
              <w:jc w:val="right"/>
            </w:pPr>
            <w:r w:rsidRPr="009C6831">
              <w:t>99,99</w:t>
            </w:r>
          </w:p>
        </w:tc>
      </w:tr>
    </w:tbl>
    <w:p w:rsidR="00AD6667" w:rsidRDefault="00AD6667" w:rsidP="005E06F2">
      <w:pPr>
        <w:jc w:val="both"/>
        <w:rPr>
          <w:sz w:val="28"/>
          <w:szCs w:val="28"/>
        </w:rPr>
      </w:pPr>
    </w:p>
    <w:p w:rsidR="00417F4B" w:rsidRDefault="00417F4B" w:rsidP="005E06F2">
      <w:pPr>
        <w:jc w:val="both"/>
        <w:rPr>
          <w:sz w:val="28"/>
          <w:szCs w:val="28"/>
        </w:rPr>
      </w:pPr>
    </w:p>
    <w:p w:rsidR="009C3183" w:rsidRDefault="0054062C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2B0B">
        <w:rPr>
          <w:sz w:val="28"/>
          <w:szCs w:val="28"/>
        </w:rPr>
        <w:t xml:space="preserve">     </w:t>
      </w:r>
    </w:p>
    <w:p w:rsidR="005E06F2" w:rsidRPr="00C72812" w:rsidRDefault="00E42B0B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7A4">
        <w:rPr>
          <w:b/>
          <w:sz w:val="28"/>
          <w:szCs w:val="28"/>
        </w:rPr>
        <w:t>3</w:t>
      </w:r>
      <w:r w:rsidR="005E06F2" w:rsidRPr="00E753DD">
        <w:rPr>
          <w:b/>
          <w:sz w:val="28"/>
          <w:szCs w:val="28"/>
        </w:rPr>
        <w:t>. Заключение</w:t>
      </w:r>
    </w:p>
    <w:p w:rsidR="005E06F2" w:rsidRDefault="005E06F2" w:rsidP="005E06F2">
      <w:pPr>
        <w:jc w:val="both"/>
        <w:rPr>
          <w:b/>
          <w:sz w:val="28"/>
          <w:szCs w:val="28"/>
        </w:rPr>
      </w:pPr>
    </w:p>
    <w:p w:rsidR="005E06F2" w:rsidRDefault="005E06F2" w:rsidP="005E06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Ревизионная комиссия рекомендует:</w:t>
      </w:r>
    </w:p>
    <w:p w:rsidR="005E06F2" w:rsidRDefault="005E06F2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утверждению отчет об исполнении бюджета сельского поселения за </w:t>
      </w:r>
      <w:r w:rsidR="00834B0C">
        <w:rPr>
          <w:sz w:val="28"/>
          <w:szCs w:val="28"/>
        </w:rPr>
        <w:t>2019</w:t>
      </w:r>
      <w:r w:rsidR="00092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год.</w:t>
      </w:r>
    </w:p>
    <w:p w:rsidR="005E06F2" w:rsidRDefault="005E06F2" w:rsidP="005E06F2">
      <w:pPr>
        <w:jc w:val="both"/>
        <w:rPr>
          <w:sz w:val="28"/>
          <w:szCs w:val="28"/>
        </w:rPr>
      </w:pPr>
    </w:p>
    <w:p w:rsidR="005E06F2" w:rsidRDefault="005E06F2" w:rsidP="005E06F2">
      <w:pPr>
        <w:jc w:val="both"/>
        <w:rPr>
          <w:sz w:val="28"/>
          <w:szCs w:val="28"/>
        </w:rPr>
      </w:pPr>
    </w:p>
    <w:p w:rsidR="004B00DC" w:rsidRDefault="004B00DC" w:rsidP="005E06F2">
      <w:pPr>
        <w:jc w:val="both"/>
        <w:rPr>
          <w:sz w:val="28"/>
          <w:szCs w:val="28"/>
        </w:rPr>
      </w:pPr>
    </w:p>
    <w:p w:rsidR="00827355" w:rsidRDefault="00827355" w:rsidP="005E06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Аудитор</w:t>
      </w:r>
    </w:p>
    <w:p w:rsidR="005E06F2" w:rsidRPr="00636A1F" w:rsidRDefault="005E06F2" w:rsidP="005E06F2">
      <w:pPr>
        <w:jc w:val="both"/>
        <w:rPr>
          <w:b/>
          <w:sz w:val="28"/>
          <w:szCs w:val="28"/>
        </w:rPr>
      </w:pPr>
      <w:r w:rsidRPr="00636A1F">
        <w:rPr>
          <w:b/>
          <w:sz w:val="28"/>
          <w:szCs w:val="28"/>
        </w:rPr>
        <w:t xml:space="preserve">контрольно </w:t>
      </w:r>
      <w:proofErr w:type="gramStart"/>
      <w:r w:rsidRPr="00636A1F">
        <w:rPr>
          <w:b/>
          <w:sz w:val="28"/>
          <w:szCs w:val="28"/>
        </w:rPr>
        <w:t>ревизионной</w:t>
      </w:r>
      <w:proofErr w:type="gramEnd"/>
      <w:r w:rsidRPr="00636A1F">
        <w:rPr>
          <w:b/>
          <w:sz w:val="28"/>
          <w:szCs w:val="28"/>
        </w:rPr>
        <w:t xml:space="preserve">          </w:t>
      </w:r>
      <w:r w:rsidR="00636A1F">
        <w:rPr>
          <w:b/>
          <w:sz w:val="28"/>
          <w:szCs w:val="28"/>
        </w:rPr>
        <w:t xml:space="preserve">                   </w:t>
      </w:r>
      <w:r w:rsidR="00B806FF" w:rsidRPr="00636A1F">
        <w:rPr>
          <w:b/>
          <w:sz w:val="28"/>
          <w:szCs w:val="28"/>
        </w:rPr>
        <w:t xml:space="preserve"> </w:t>
      </w:r>
      <w:r w:rsidR="00827355">
        <w:rPr>
          <w:b/>
          <w:sz w:val="28"/>
          <w:szCs w:val="28"/>
        </w:rPr>
        <w:t xml:space="preserve">                  </w:t>
      </w:r>
      <w:r w:rsidRPr="00636A1F">
        <w:rPr>
          <w:b/>
          <w:sz w:val="28"/>
          <w:szCs w:val="28"/>
        </w:rPr>
        <w:t>Очиров Ж.Б.</w:t>
      </w:r>
    </w:p>
    <w:p w:rsidR="005E06F2" w:rsidRPr="00636A1F" w:rsidRDefault="005E06F2" w:rsidP="005E06F2">
      <w:pPr>
        <w:jc w:val="both"/>
        <w:rPr>
          <w:b/>
          <w:sz w:val="28"/>
          <w:szCs w:val="28"/>
        </w:rPr>
      </w:pPr>
      <w:r w:rsidRPr="00636A1F">
        <w:rPr>
          <w:b/>
          <w:sz w:val="28"/>
          <w:szCs w:val="28"/>
        </w:rPr>
        <w:t>комиссии</w:t>
      </w:r>
    </w:p>
    <w:p w:rsidR="00A23E7C" w:rsidRDefault="00A23E7C"/>
    <w:sectPr w:rsidR="00A23E7C" w:rsidSect="00A2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550"/>
    <w:multiLevelType w:val="multilevel"/>
    <w:tmpl w:val="D60C089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E06F2"/>
    <w:rsid w:val="0000001B"/>
    <w:rsid w:val="00000079"/>
    <w:rsid w:val="0000172B"/>
    <w:rsid w:val="00001DA3"/>
    <w:rsid w:val="0000318C"/>
    <w:rsid w:val="00003910"/>
    <w:rsid w:val="00005B11"/>
    <w:rsid w:val="00007E78"/>
    <w:rsid w:val="00010C92"/>
    <w:rsid w:val="00011890"/>
    <w:rsid w:val="00011904"/>
    <w:rsid w:val="00011992"/>
    <w:rsid w:val="00014B8D"/>
    <w:rsid w:val="00015E73"/>
    <w:rsid w:val="00016DE0"/>
    <w:rsid w:val="00017A06"/>
    <w:rsid w:val="0002061F"/>
    <w:rsid w:val="00021271"/>
    <w:rsid w:val="00021C62"/>
    <w:rsid w:val="00022B83"/>
    <w:rsid w:val="000236C8"/>
    <w:rsid w:val="00024152"/>
    <w:rsid w:val="00025E71"/>
    <w:rsid w:val="00025FFD"/>
    <w:rsid w:val="000270D5"/>
    <w:rsid w:val="00027333"/>
    <w:rsid w:val="00031A49"/>
    <w:rsid w:val="000324DC"/>
    <w:rsid w:val="00033B5E"/>
    <w:rsid w:val="00034462"/>
    <w:rsid w:val="00034E65"/>
    <w:rsid w:val="00040C68"/>
    <w:rsid w:val="000418B1"/>
    <w:rsid w:val="00043B0C"/>
    <w:rsid w:val="00044532"/>
    <w:rsid w:val="00044757"/>
    <w:rsid w:val="00044CC1"/>
    <w:rsid w:val="000456B3"/>
    <w:rsid w:val="00045E51"/>
    <w:rsid w:val="000470A6"/>
    <w:rsid w:val="000515B7"/>
    <w:rsid w:val="00053A34"/>
    <w:rsid w:val="00054C39"/>
    <w:rsid w:val="000561CA"/>
    <w:rsid w:val="000649EE"/>
    <w:rsid w:val="00065EFB"/>
    <w:rsid w:val="00066F8A"/>
    <w:rsid w:val="000721BF"/>
    <w:rsid w:val="000738C4"/>
    <w:rsid w:val="000816B4"/>
    <w:rsid w:val="000818C8"/>
    <w:rsid w:val="00081B4D"/>
    <w:rsid w:val="00082791"/>
    <w:rsid w:val="00084665"/>
    <w:rsid w:val="00084791"/>
    <w:rsid w:val="00085916"/>
    <w:rsid w:val="00087FB5"/>
    <w:rsid w:val="00091BAE"/>
    <w:rsid w:val="0009240C"/>
    <w:rsid w:val="000928BE"/>
    <w:rsid w:val="00093AE8"/>
    <w:rsid w:val="000948E0"/>
    <w:rsid w:val="00097D5B"/>
    <w:rsid w:val="000A079B"/>
    <w:rsid w:val="000A2A4A"/>
    <w:rsid w:val="000A53A1"/>
    <w:rsid w:val="000A737F"/>
    <w:rsid w:val="000B2114"/>
    <w:rsid w:val="000B52E4"/>
    <w:rsid w:val="000B6728"/>
    <w:rsid w:val="000C1F2E"/>
    <w:rsid w:val="000C2234"/>
    <w:rsid w:val="000C3B5A"/>
    <w:rsid w:val="000C4D16"/>
    <w:rsid w:val="000C5B2C"/>
    <w:rsid w:val="000C5EA4"/>
    <w:rsid w:val="000C6DB9"/>
    <w:rsid w:val="000C70DC"/>
    <w:rsid w:val="000D12F7"/>
    <w:rsid w:val="000D2037"/>
    <w:rsid w:val="000D29BE"/>
    <w:rsid w:val="000D3FF3"/>
    <w:rsid w:val="000D4F85"/>
    <w:rsid w:val="000D5E1E"/>
    <w:rsid w:val="000D6FAB"/>
    <w:rsid w:val="000E4CE2"/>
    <w:rsid w:val="000E5266"/>
    <w:rsid w:val="000E5880"/>
    <w:rsid w:val="000E63C1"/>
    <w:rsid w:val="000E66DE"/>
    <w:rsid w:val="000E6B83"/>
    <w:rsid w:val="000E73AC"/>
    <w:rsid w:val="000F0C44"/>
    <w:rsid w:val="000F12F5"/>
    <w:rsid w:val="000F2C35"/>
    <w:rsid w:val="000F4D46"/>
    <w:rsid w:val="000F6204"/>
    <w:rsid w:val="00100C11"/>
    <w:rsid w:val="00101B32"/>
    <w:rsid w:val="00101B76"/>
    <w:rsid w:val="00103D13"/>
    <w:rsid w:val="00104893"/>
    <w:rsid w:val="0010748A"/>
    <w:rsid w:val="00110DF9"/>
    <w:rsid w:val="00111D0E"/>
    <w:rsid w:val="0011382A"/>
    <w:rsid w:val="00114604"/>
    <w:rsid w:val="00115352"/>
    <w:rsid w:val="00115D8A"/>
    <w:rsid w:val="00116962"/>
    <w:rsid w:val="001169E8"/>
    <w:rsid w:val="00117886"/>
    <w:rsid w:val="00123E0A"/>
    <w:rsid w:val="0012694A"/>
    <w:rsid w:val="00126DF5"/>
    <w:rsid w:val="001270B9"/>
    <w:rsid w:val="00130FBE"/>
    <w:rsid w:val="0013122C"/>
    <w:rsid w:val="001312BB"/>
    <w:rsid w:val="001320C3"/>
    <w:rsid w:val="00136270"/>
    <w:rsid w:val="0013680A"/>
    <w:rsid w:val="00136BDA"/>
    <w:rsid w:val="00137940"/>
    <w:rsid w:val="00142E61"/>
    <w:rsid w:val="00144A1C"/>
    <w:rsid w:val="00146C4A"/>
    <w:rsid w:val="00147BB0"/>
    <w:rsid w:val="00147EFF"/>
    <w:rsid w:val="001519F6"/>
    <w:rsid w:val="00151D37"/>
    <w:rsid w:val="00154814"/>
    <w:rsid w:val="00157F20"/>
    <w:rsid w:val="00161AA4"/>
    <w:rsid w:val="001626D5"/>
    <w:rsid w:val="00164EAF"/>
    <w:rsid w:val="00165498"/>
    <w:rsid w:val="0016598C"/>
    <w:rsid w:val="00166F0A"/>
    <w:rsid w:val="00167C82"/>
    <w:rsid w:val="00170AB9"/>
    <w:rsid w:val="001733B7"/>
    <w:rsid w:val="001762BE"/>
    <w:rsid w:val="001808E3"/>
    <w:rsid w:val="00180BB9"/>
    <w:rsid w:val="001838DC"/>
    <w:rsid w:val="00184B6F"/>
    <w:rsid w:val="00186204"/>
    <w:rsid w:val="00186732"/>
    <w:rsid w:val="00186C62"/>
    <w:rsid w:val="0019249A"/>
    <w:rsid w:val="001938D9"/>
    <w:rsid w:val="001961D0"/>
    <w:rsid w:val="001A20B8"/>
    <w:rsid w:val="001A3F53"/>
    <w:rsid w:val="001A54B4"/>
    <w:rsid w:val="001A7A96"/>
    <w:rsid w:val="001B22B0"/>
    <w:rsid w:val="001B3810"/>
    <w:rsid w:val="001B3DA6"/>
    <w:rsid w:val="001B412E"/>
    <w:rsid w:val="001B4E58"/>
    <w:rsid w:val="001B5D15"/>
    <w:rsid w:val="001B6797"/>
    <w:rsid w:val="001B6F04"/>
    <w:rsid w:val="001B75C6"/>
    <w:rsid w:val="001B7B76"/>
    <w:rsid w:val="001C26C3"/>
    <w:rsid w:val="001C3618"/>
    <w:rsid w:val="001C41A6"/>
    <w:rsid w:val="001C565F"/>
    <w:rsid w:val="001C6560"/>
    <w:rsid w:val="001D021D"/>
    <w:rsid w:val="001D2BBE"/>
    <w:rsid w:val="001D3BE0"/>
    <w:rsid w:val="001D3F5E"/>
    <w:rsid w:val="001D4075"/>
    <w:rsid w:val="001D4802"/>
    <w:rsid w:val="001D4837"/>
    <w:rsid w:val="001D4956"/>
    <w:rsid w:val="001D71A7"/>
    <w:rsid w:val="001D754D"/>
    <w:rsid w:val="001E07C0"/>
    <w:rsid w:val="001E416A"/>
    <w:rsid w:val="001E6092"/>
    <w:rsid w:val="001E695F"/>
    <w:rsid w:val="001E7F6B"/>
    <w:rsid w:val="001F1AD5"/>
    <w:rsid w:val="001F2602"/>
    <w:rsid w:val="001F3886"/>
    <w:rsid w:val="001F463B"/>
    <w:rsid w:val="001F6B24"/>
    <w:rsid w:val="001F72A5"/>
    <w:rsid w:val="002013E8"/>
    <w:rsid w:val="002040CE"/>
    <w:rsid w:val="002058E0"/>
    <w:rsid w:val="00205F43"/>
    <w:rsid w:val="00211901"/>
    <w:rsid w:val="0021267D"/>
    <w:rsid w:val="00212C32"/>
    <w:rsid w:val="00214055"/>
    <w:rsid w:val="00216E0F"/>
    <w:rsid w:val="00220891"/>
    <w:rsid w:val="00221801"/>
    <w:rsid w:val="00223462"/>
    <w:rsid w:val="002245AA"/>
    <w:rsid w:val="00224EE9"/>
    <w:rsid w:val="00225CA7"/>
    <w:rsid w:val="00230148"/>
    <w:rsid w:val="00230A15"/>
    <w:rsid w:val="00230E8B"/>
    <w:rsid w:val="00231995"/>
    <w:rsid w:val="00231A80"/>
    <w:rsid w:val="00236AF2"/>
    <w:rsid w:val="002370B7"/>
    <w:rsid w:val="00240030"/>
    <w:rsid w:val="0024163C"/>
    <w:rsid w:val="00241894"/>
    <w:rsid w:val="00242D73"/>
    <w:rsid w:val="00245E7F"/>
    <w:rsid w:val="00247653"/>
    <w:rsid w:val="002500DC"/>
    <w:rsid w:val="00250F22"/>
    <w:rsid w:val="0025237A"/>
    <w:rsid w:val="00257FE7"/>
    <w:rsid w:val="00261C98"/>
    <w:rsid w:val="002629B2"/>
    <w:rsid w:val="00262AC8"/>
    <w:rsid w:val="00265D28"/>
    <w:rsid w:val="00267BF0"/>
    <w:rsid w:val="00267EED"/>
    <w:rsid w:val="00270A26"/>
    <w:rsid w:val="0027122C"/>
    <w:rsid w:val="00272A13"/>
    <w:rsid w:val="00273FDB"/>
    <w:rsid w:val="00275F4D"/>
    <w:rsid w:val="00276871"/>
    <w:rsid w:val="00277914"/>
    <w:rsid w:val="00280175"/>
    <w:rsid w:val="00280973"/>
    <w:rsid w:val="00283CA0"/>
    <w:rsid w:val="00284127"/>
    <w:rsid w:val="00284CE4"/>
    <w:rsid w:val="00284F5D"/>
    <w:rsid w:val="002853C4"/>
    <w:rsid w:val="00285855"/>
    <w:rsid w:val="00291327"/>
    <w:rsid w:val="002922C0"/>
    <w:rsid w:val="00292EF2"/>
    <w:rsid w:val="0029397A"/>
    <w:rsid w:val="00293EFF"/>
    <w:rsid w:val="002A0722"/>
    <w:rsid w:val="002A170B"/>
    <w:rsid w:val="002A19E2"/>
    <w:rsid w:val="002A2837"/>
    <w:rsid w:val="002A5129"/>
    <w:rsid w:val="002A51A5"/>
    <w:rsid w:val="002A5CB7"/>
    <w:rsid w:val="002A7245"/>
    <w:rsid w:val="002B01BD"/>
    <w:rsid w:val="002B0556"/>
    <w:rsid w:val="002B291E"/>
    <w:rsid w:val="002B4383"/>
    <w:rsid w:val="002B6C77"/>
    <w:rsid w:val="002C04A4"/>
    <w:rsid w:val="002C1335"/>
    <w:rsid w:val="002C152A"/>
    <w:rsid w:val="002C167D"/>
    <w:rsid w:val="002C1C7E"/>
    <w:rsid w:val="002C2B25"/>
    <w:rsid w:val="002C34AB"/>
    <w:rsid w:val="002C3CAF"/>
    <w:rsid w:val="002C4408"/>
    <w:rsid w:val="002C49A6"/>
    <w:rsid w:val="002C5278"/>
    <w:rsid w:val="002C559C"/>
    <w:rsid w:val="002C688C"/>
    <w:rsid w:val="002D1083"/>
    <w:rsid w:val="002D3515"/>
    <w:rsid w:val="002D384E"/>
    <w:rsid w:val="002D743B"/>
    <w:rsid w:val="002E0158"/>
    <w:rsid w:val="002E1DB0"/>
    <w:rsid w:val="002E1DEE"/>
    <w:rsid w:val="002E5050"/>
    <w:rsid w:val="002E738F"/>
    <w:rsid w:val="002F142A"/>
    <w:rsid w:val="002F3648"/>
    <w:rsid w:val="002F39F1"/>
    <w:rsid w:val="00300DEB"/>
    <w:rsid w:val="00301FBA"/>
    <w:rsid w:val="003074BD"/>
    <w:rsid w:val="00311171"/>
    <w:rsid w:val="00311845"/>
    <w:rsid w:val="00311EE2"/>
    <w:rsid w:val="0031214D"/>
    <w:rsid w:val="003138D0"/>
    <w:rsid w:val="00315676"/>
    <w:rsid w:val="00317AE7"/>
    <w:rsid w:val="00317C60"/>
    <w:rsid w:val="00317D02"/>
    <w:rsid w:val="00321FB7"/>
    <w:rsid w:val="00322903"/>
    <w:rsid w:val="00323255"/>
    <w:rsid w:val="00323FCD"/>
    <w:rsid w:val="00324137"/>
    <w:rsid w:val="003267A4"/>
    <w:rsid w:val="00327714"/>
    <w:rsid w:val="00327E34"/>
    <w:rsid w:val="00336260"/>
    <w:rsid w:val="00336E4C"/>
    <w:rsid w:val="00343D77"/>
    <w:rsid w:val="003476CB"/>
    <w:rsid w:val="0035069E"/>
    <w:rsid w:val="00353175"/>
    <w:rsid w:val="00353304"/>
    <w:rsid w:val="0035378B"/>
    <w:rsid w:val="0035453B"/>
    <w:rsid w:val="00354CA1"/>
    <w:rsid w:val="003568B8"/>
    <w:rsid w:val="00360D4F"/>
    <w:rsid w:val="00366EB7"/>
    <w:rsid w:val="003673BD"/>
    <w:rsid w:val="0036751D"/>
    <w:rsid w:val="0037593B"/>
    <w:rsid w:val="00376B86"/>
    <w:rsid w:val="00376D6C"/>
    <w:rsid w:val="00377BA6"/>
    <w:rsid w:val="00381AE2"/>
    <w:rsid w:val="00383C33"/>
    <w:rsid w:val="00392617"/>
    <w:rsid w:val="00392655"/>
    <w:rsid w:val="00392A3F"/>
    <w:rsid w:val="003934DB"/>
    <w:rsid w:val="00393E1A"/>
    <w:rsid w:val="00394B10"/>
    <w:rsid w:val="003A4E59"/>
    <w:rsid w:val="003A714E"/>
    <w:rsid w:val="003B0E87"/>
    <w:rsid w:val="003B1230"/>
    <w:rsid w:val="003B15C9"/>
    <w:rsid w:val="003B3D39"/>
    <w:rsid w:val="003C0DDA"/>
    <w:rsid w:val="003C3E07"/>
    <w:rsid w:val="003C4D89"/>
    <w:rsid w:val="003C66F2"/>
    <w:rsid w:val="003C6E52"/>
    <w:rsid w:val="003D0B2D"/>
    <w:rsid w:val="003D117A"/>
    <w:rsid w:val="003D11FB"/>
    <w:rsid w:val="003D5F9C"/>
    <w:rsid w:val="003D65E4"/>
    <w:rsid w:val="003D6997"/>
    <w:rsid w:val="003E09CC"/>
    <w:rsid w:val="003E0ED2"/>
    <w:rsid w:val="003E1861"/>
    <w:rsid w:val="003E1A5C"/>
    <w:rsid w:val="003E39DE"/>
    <w:rsid w:val="003E3C48"/>
    <w:rsid w:val="003E5D0F"/>
    <w:rsid w:val="003E790A"/>
    <w:rsid w:val="003F39F1"/>
    <w:rsid w:val="003F4C76"/>
    <w:rsid w:val="003F5958"/>
    <w:rsid w:val="003F5ABD"/>
    <w:rsid w:val="003F60D0"/>
    <w:rsid w:val="003F67B5"/>
    <w:rsid w:val="003F69C4"/>
    <w:rsid w:val="0040031B"/>
    <w:rsid w:val="00403A78"/>
    <w:rsid w:val="00403FBA"/>
    <w:rsid w:val="004064D9"/>
    <w:rsid w:val="00406A3B"/>
    <w:rsid w:val="00407949"/>
    <w:rsid w:val="00410720"/>
    <w:rsid w:val="004133B2"/>
    <w:rsid w:val="0041431E"/>
    <w:rsid w:val="004143A5"/>
    <w:rsid w:val="004148DD"/>
    <w:rsid w:val="004158D7"/>
    <w:rsid w:val="00417F4B"/>
    <w:rsid w:val="00420B73"/>
    <w:rsid w:val="00421605"/>
    <w:rsid w:val="00421D7F"/>
    <w:rsid w:val="00421E4F"/>
    <w:rsid w:val="00422112"/>
    <w:rsid w:val="00423879"/>
    <w:rsid w:val="0042423B"/>
    <w:rsid w:val="00427161"/>
    <w:rsid w:val="00430515"/>
    <w:rsid w:val="00432C6C"/>
    <w:rsid w:val="00433812"/>
    <w:rsid w:val="00433D1B"/>
    <w:rsid w:val="00435B2D"/>
    <w:rsid w:val="00437ACE"/>
    <w:rsid w:val="00437CC4"/>
    <w:rsid w:val="00440668"/>
    <w:rsid w:val="00441A1F"/>
    <w:rsid w:val="00443178"/>
    <w:rsid w:val="00445618"/>
    <w:rsid w:val="004463F7"/>
    <w:rsid w:val="004523E9"/>
    <w:rsid w:val="00453E73"/>
    <w:rsid w:val="004543F9"/>
    <w:rsid w:val="00454BCE"/>
    <w:rsid w:val="0045527D"/>
    <w:rsid w:val="004561FA"/>
    <w:rsid w:val="004611DA"/>
    <w:rsid w:val="0046185B"/>
    <w:rsid w:val="00463DA7"/>
    <w:rsid w:val="00464812"/>
    <w:rsid w:val="00466EC1"/>
    <w:rsid w:val="0046749E"/>
    <w:rsid w:val="004714F8"/>
    <w:rsid w:val="00471878"/>
    <w:rsid w:val="00473097"/>
    <w:rsid w:val="004753C5"/>
    <w:rsid w:val="0047685E"/>
    <w:rsid w:val="00483329"/>
    <w:rsid w:val="00483CB1"/>
    <w:rsid w:val="00485894"/>
    <w:rsid w:val="00486683"/>
    <w:rsid w:val="00486A91"/>
    <w:rsid w:val="00487493"/>
    <w:rsid w:val="00490254"/>
    <w:rsid w:val="00490863"/>
    <w:rsid w:val="00492960"/>
    <w:rsid w:val="00492FF1"/>
    <w:rsid w:val="00495942"/>
    <w:rsid w:val="004A11CE"/>
    <w:rsid w:val="004A38BB"/>
    <w:rsid w:val="004A60FB"/>
    <w:rsid w:val="004A74DC"/>
    <w:rsid w:val="004A7C7C"/>
    <w:rsid w:val="004B00DC"/>
    <w:rsid w:val="004B041B"/>
    <w:rsid w:val="004B0833"/>
    <w:rsid w:val="004B1C70"/>
    <w:rsid w:val="004B5AA3"/>
    <w:rsid w:val="004B5FDE"/>
    <w:rsid w:val="004B7D30"/>
    <w:rsid w:val="004C0A90"/>
    <w:rsid w:val="004C1EB3"/>
    <w:rsid w:val="004C20E5"/>
    <w:rsid w:val="004C2F70"/>
    <w:rsid w:val="004C408D"/>
    <w:rsid w:val="004C40EC"/>
    <w:rsid w:val="004C5F14"/>
    <w:rsid w:val="004D1293"/>
    <w:rsid w:val="004D5CEB"/>
    <w:rsid w:val="004D6651"/>
    <w:rsid w:val="004E5510"/>
    <w:rsid w:val="004E5993"/>
    <w:rsid w:val="004E7491"/>
    <w:rsid w:val="004E7D95"/>
    <w:rsid w:val="004F0762"/>
    <w:rsid w:val="004F1187"/>
    <w:rsid w:val="004F2D61"/>
    <w:rsid w:val="004F41B0"/>
    <w:rsid w:val="004F4AC6"/>
    <w:rsid w:val="004F58A8"/>
    <w:rsid w:val="004F72B4"/>
    <w:rsid w:val="00502B4C"/>
    <w:rsid w:val="00502F63"/>
    <w:rsid w:val="00504EDB"/>
    <w:rsid w:val="00505601"/>
    <w:rsid w:val="005173CC"/>
    <w:rsid w:val="00521899"/>
    <w:rsid w:val="005223EB"/>
    <w:rsid w:val="00522750"/>
    <w:rsid w:val="00525DCA"/>
    <w:rsid w:val="00526337"/>
    <w:rsid w:val="0052634B"/>
    <w:rsid w:val="00527566"/>
    <w:rsid w:val="005279DE"/>
    <w:rsid w:val="00530CFA"/>
    <w:rsid w:val="005313D8"/>
    <w:rsid w:val="00532DDB"/>
    <w:rsid w:val="00533131"/>
    <w:rsid w:val="005337F5"/>
    <w:rsid w:val="005350BB"/>
    <w:rsid w:val="0054062C"/>
    <w:rsid w:val="00540940"/>
    <w:rsid w:val="00542610"/>
    <w:rsid w:val="00542AD2"/>
    <w:rsid w:val="00542FBD"/>
    <w:rsid w:val="00543881"/>
    <w:rsid w:val="005448E3"/>
    <w:rsid w:val="00545D8C"/>
    <w:rsid w:val="00550244"/>
    <w:rsid w:val="00550461"/>
    <w:rsid w:val="0055116D"/>
    <w:rsid w:val="00551319"/>
    <w:rsid w:val="00551FAD"/>
    <w:rsid w:val="0055450D"/>
    <w:rsid w:val="005545BB"/>
    <w:rsid w:val="00554F6D"/>
    <w:rsid w:val="00557128"/>
    <w:rsid w:val="005571F0"/>
    <w:rsid w:val="00560B80"/>
    <w:rsid w:val="00561782"/>
    <w:rsid w:val="00561E2D"/>
    <w:rsid w:val="00565472"/>
    <w:rsid w:val="0056586E"/>
    <w:rsid w:val="00570D9B"/>
    <w:rsid w:val="00572A28"/>
    <w:rsid w:val="0057314E"/>
    <w:rsid w:val="005746C8"/>
    <w:rsid w:val="005754B7"/>
    <w:rsid w:val="00575E04"/>
    <w:rsid w:val="00576ADC"/>
    <w:rsid w:val="00576C49"/>
    <w:rsid w:val="00577152"/>
    <w:rsid w:val="0057717A"/>
    <w:rsid w:val="00577D3D"/>
    <w:rsid w:val="005801E9"/>
    <w:rsid w:val="00580945"/>
    <w:rsid w:val="00582512"/>
    <w:rsid w:val="00583DBD"/>
    <w:rsid w:val="00586FF4"/>
    <w:rsid w:val="0058771C"/>
    <w:rsid w:val="0059054B"/>
    <w:rsid w:val="00591C54"/>
    <w:rsid w:val="0059239B"/>
    <w:rsid w:val="0059399A"/>
    <w:rsid w:val="00593B1B"/>
    <w:rsid w:val="0059435B"/>
    <w:rsid w:val="00594BFA"/>
    <w:rsid w:val="005A1131"/>
    <w:rsid w:val="005A1461"/>
    <w:rsid w:val="005A4F69"/>
    <w:rsid w:val="005A7D3A"/>
    <w:rsid w:val="005B151C"/>
    <w:rsid w:val="005B4FD5"/>
    <w:rsid w:val="005C018A"/>
    <w:rsid w:val="005C251A"/>
    <w:rsid w:val="005C7C0C"/>
    <w:rsid w:val="005D0895"/>
    <w:rsid w:val="005D0BE4"/>
    <w:rsid w:val="005D280A"/>
    <w:rsid w:val="005D567D"/>
    <w:rsid w:val="005D5762"/>
    <w:rsid w:val="005D6D44"/>
    <w:rsid w:val="005E05C3"/>
    <w:rsid w:val="005E06F2"/>
    <w:rsid w:val="005E21D7"/>
    <w:rsid w:val="005E25F6"/>
    <w:rsid w:val="005E26E7"/>
    <w:rsid w:val="005E2861"/>
    <w:rsid w:val="005E3B37"/>
    <w:rsid w:val="005E5A04"/>
    <w:rsid w:val="005E6559"/>
    <w:rsid w:val="005F2280"/>
    <w:rsid w:val="005F2638"/>
    <w:rsid w:val="005F5E00"/>
    <w:rsid w:val="005F6A88"/>
    <w:rsid w:val="0060106C"/>
    <w:rsid w:val="006019BB"/>
    <w:rsid w:val="0060407A"/>
    <w:rsid w:val="00604EDC"/>
    <w:rsid w:val="006134AE"/>
    <w:rsid w:val="0061370B"/>
    <w:rsid w:val="006143BF"/>
    <w:rsid w:val="0062114B"/>
    <w:rsid w:val="006225B7"/>
    <w:rsid w:val="00623A71"/>
    <w:rsid w:val="006240A0"/>
    <w:rsid w:val="00625499"/>
    <w:rsid w:val="00627784"/>
    <w:rsid w:val="00627D15"/>
    <w:rsid w:val="0063288D"/>
    <w:rsid w:val="00632CD9"/>
    <w:rsid w:val="00633692"/>
    <w:rsid w:val="0063425E"/>
    <w:rsid w:val="00635F41"/>
    <w:rsid w:val="00636908"/>
    <w:rsid w:val="00636A1F"/>
    <w:rsid w:val="00636DDE"/>
    <w:rsid w:val="00637845"/>
    <w:rsid w:val="006416C3"/>
    <w:rsid w:val="00642348"/>
    <w:rsid w:val="00644EFB"/>
    <w:rsid w:val="00651E9B"/>
    <w:rsid w:val="00653F00"/>
    <w:rsid w:val="00654D14"/>
    <w:rsid w:val="00656035"/>
    <w:rsid w:val="0065619C"/>
    <w:rsid w:val="00656482"/>
    <w:rsid w:val="0066445E"/>
    <w:rsid w:val="006652F5"/>
    <w:rsid w:val="00670DE0"/>
    <w:rsid w:val="00675B80"/>
    <w:rsid w:val="00676D77"/>
    <w:rsid w:val="00680436"/>
    <w:rsid w:val="00680525"/>
    <w:rsid w:val="00681B63"/>
    <w:rsid w:val="006832D5"/>
    <w:rsid w:val="0068406F"/>
    <w:rsid w:val="00685906"/>
    <w:rsid w:val="00686F03"/>
    <w:rsid w:val="006871B7"/>
    <w:rsid w:val="00690B10"/>
    <w:rsid w:val="00691F2E"/>
    <w:rsid w:val="00692586"/>
    <w:rsid w:val="006932E1"/>
    <w:rsid w:val="00693D28"/>
    <w:rsid w:val="0069420B"/>
    <w:rsid w:val="006945C7"/>
    <w:rsid w:val="0069624E"/>
    <w:rsid w:val="006A2CD6"/>
    <w:rsid w:val="006A3934"/>
    <w:rsid w:val="006A677F"/>
    <w:rsid w:val="006B0B3C"/>
    <w:rsid w:val="006B12A9"/>
    <w:rsid w:val="006B26B8"/>
    <w:rsid w:val="006B293A"/>
    <w:rsid w:val="006B2B30"/>
    <w:rsid w:val="006B477F"/>
    <w:rsid w:val="006C0491"/>
    <w:rsid w:val="006C1487"/>
    <w:rsid w:val="006C213A"/>
    <w:rsid w:val="006C2B10"/>
    <w:rsid w:val="006C3B0F"/>
    <w:rsid w:val="006C5126"/>
    <w:rsid w:val="006C65D1"/>
    <w:rsid w:val="006C73ED"/>
    <w:rsid w:val="006C7777"/>
    <w:rsid w:val="006D1D46"/>
    <w:rsid w:val="006D2355"/>
    <w:rsid w:val="006D2A74"/>
    <w:rsid w:val="006D2DCA"/>
    <w:rsid w:val="006D6524"/>
    <w:rsid w:val="006D7120"/>
    <w:rsid w:val="006E1796"/>
    <w:rsid w:val="006E1D0A"/>
    <w:rsid w:val="006E250F"/>
    <w:rsid w:val="006E2782"/>
    <w:rsid w:val="006E2C70"/>
    <w:rsid w:val="006E62A0"/>
    <w:rsid w:val="006F158E"/>
    <w:rsid w:val="006F1630"/>
    <w:rsid w:val="006F430C"/>
    <w:rsid w:val="006F4378"/>
    <w:rsid w:val="006F52DB"/>
    <w:rsid w:val="007020DB"/>
    <w:rsid w:val="0070449A"/>
    <w:rsid w:val="007047B5"/>
    <w:rsid w:val="00705A75"/>
    <w:rsid w:val="00706915"/>
    <w:rsid w:val="00706FA6"/>
    <w:rsid w:val="007070A3"/>
    <w:rsid w:val="007074E3"/>
    <w:rsid w:val="00710828"/>
    <w:rsid w:val="00710B15"/>
    <w:rsid w:val="00712ADF"/>
    <w:rsid w:val="007143BC"/>
    <w:rsid w:val="00722DFF"/>
    <w:rsid w:val="00723213"/>
    <w:rsid w:val="007244B6"/>
    <w:rsid w:val="007320E6"/>
    <w:rsid w:val="00732319"/>
    <w:rsid w:val="00733616"/>
    <w:rsid w:val="00735D04"/>
    <w:rsid w:val="0073622A"/>
    <w:rsid w:val="0073669F"/>
    <w:rsid w:val="00737E10"/>
    <w:rsid w:val="00740BAD"/>
    <w:rsid w:val="007423DB"/>
    <w:rsid w:val="00742F76"/>
    <w:rsid w:val="0074364C"/>
    <w:rsid w:val="00744543"/>
    <w:rsid w:val="007458AA"/>
    <w:rsid w:val="00745A56"/>
    <w:rsid w:val="007470E8"/>
    <w:rsid w:val="007511BA"/>
    <w:rsid w:val="0075123E"/>
    <w:rsid w:val="007528F3"/>
    <w:rsid w:val="00752CA5"/>
    <w:rsid w:val="007532B9"/>
    <w:rsid w:val="0075437D"/>
    <w:rsid w:val="007560E6"/>
    <w:rsid w:val="0075638C"/>
    <w:rsid w:val="00756D2D"/>
    <w:rsid w:val="00762235"/>
    <w:rsid w:val="00764510"/>
    <w:rsid w:val="007646A6"/>
    <w:rsid w:val="00764B7C"/>
    <w:rsid w:val="00765E27"/>
    <w:rsid w:val="007664A2"/>
    <w:rsid w:val="00766DFA"/>
    <w:rsid w:val="00770F7D"/>
    <w:rsid w:val="00773085"/>
    <w:rsid w:val="00773381"/>
    <w:rsid w:val="00777159"/>
    <w:rsid w:val="00781082"/>
    <w:rsid w:val="007834A6"/>
    <w:rsid w:val="007836C1"/>
    <w:rsid w:val="0078465E"/>
    <w:rsid w:val="00785431"/>
    <w:rsid w:val="00785C20"/>
    <w:rsid w:val="0078762A"/>
    <w:rsid w:val="00787C34"/>
    <w:rsid w:val="00787CB2"/>
    <w:rsid w:val="00787D49"/>
    <w:rsid w:val="0079049C"/>
    <w:rsid w:val="00792389"/>
    <w:rsid w:val="00794D8F"/>
    <w:rsid w:val="007956D4"/>
    <w:rsid w:val="00797792"/>
    <w:rsid w:val="007A1C26"/>
    <w:rsid w:val="007A3337"/>
    <w:rsid w:val="007A3AC7"/>
    <w:rsid w:val="007A3C05"/>
    <w:rsid w:val="007A508F"/>
    <w:rsid w:val="007A6B0E"/>
    <w:rsid w:val="007B40E4"/>
    <w:rsid w:val="007B5148"/>
    <w:rsid w:val="007B558E"/>
    <w:rsid w:val="007B6C28"/>
    <w:rsid w:val="007C4579"/>
    <w:rsid w:val="007C5034"/>
    <w:rsid w:val="007C6449"/>
    <w:rsid w:val="007C6813"/>
    <w:rsid w:val="007C6F09"/>
    <w:rsid w:val="007C7B5C"/>
    <w:rsid w:val="007D3B97"/>
    <w:rsid w:val="007D5983"/>
    <w:rsid w:val="007D5E50"/>
    <w:rsid w:val="007D63B9"/>
    <w:rsid w:val="007E08EF"/>
    <w:rsid w:val="007E249C"/>
    <w:rsid w:val="007E4608"/>
    <w:rsid w:val="007E519F"/>
    <w:rsid w:val="007E5F7E"/>
    <w:rsid w:val="007E73EE"/>
    <w:rsid w:val="007F0AA5"/>
    <w:rsid w:val="007F1F63"/>
    <w:rsid w:val="007F304F"/>
    <w:rsid w:val="007F4061"/>
    <w:rsid w:val="007F50F8"/>
    <w:rsid w:val="007F5A58"/>
    <w:rsid w:val="007F6260"/>
    <w:rsid w:val="008014BF"/>
    <w:rsid w:val="008026BA"/>
    <w:rsid w:val="00802790"/>
    <w:rsid w:val="00803FCC"/>
    <w:rsid w:val="00803FCE"/>
    <w:rsid w:val="00804AC7"/>
    <w:rsid w:val="00806757"/>
    <w:rsid w:val="00806D64"/>
    <w:rsid w:val="00807A4E"/>
    <w:rsid w:val="00810084"/>
    <w:rsid w:val="0081122C"/>
    <w:rsid w:val="00812D72"/>
    <w:rsid w:val="00821023"/>
    <w:rsid w:val="00821278"/>
    <w:rsid w:val="008230BF"/>
    <w:rsid w:val="008231D4"/>
    <w:rsid w:val="008234A1"/>
    <w:rsid w:val="00823943"/>
    <w:rsid w:val="00824109"/>
    <w:rsid w:val="00824685"/>
    <w:rsid w:val="008252F5"/>
    <w:rsid w:val="00826CD7"/>
    <w:rsid w:val="00827355"/>
    <w:rsid w:val="00827A4C"/>
    <w:rsid w:val="00827D2F"/>
    <w:rsid w:val="008327BA"/>
    <w:rsid w:val="00833D1B"/>
    <w:rsid w:val="00834B0C"/>
    <w:rsid w:val="00840CE7"/>
    <w:rsid w:val="00840D80"/>
    <w:rsid w:val="00843151"/>
    <w:rsid w:val="008435CE"/>
    <w:rsid w:val="008438EC"/>
    <w:rsid w:val="008445E2"/>
    <w:rsid w:val="008446FA"/>
    <w:rsid w:val="00845329"/>
    <w:rsid w:val="008464A9"/>
    <w:rsid w:val="00846C23"/>
    <w:rsid w:val="00850E10"/>
    <w:rsid w:val="008513E9"/>
    <w:rsid w:val="00853425"/>
    <w:rsid w:val="00854179"/>
    <w:rsid w:val="00854E71"/>
    <w:rsid w:val="0086262E"/>
    <w:rsid w:val="00863367"/>
    <w:rsid w:val="00863C19"/>
    <w:rsid w:val="00870FF8"/>
    <w:rsid w:val="00871EFF"/>
    <w:rsid w:val="00875286"/>
    <w:rsid w:val="00875445"/>
    <w:rsid w:val="00876EA5"/>
    <w:rsid w:val="00886AC7"/>
    <w:rsid w:val="00890056"/>
    <w:rsid w:val="0089167E"/>
    <w:rsid w:val="00893691"/>
    <w:rsid w:val="008942C4"/>
    <w:rsid w:val="00896670"/>
    <w:rsid w:val="0089737E"/>
    <w:rsid w:val="00897911"/>
    <w:rsid w:val="008A0AAA"/>
    <w:rsid w:val="008A1E19"/>
    <w:rsid w:val="008A1E94"/>
    <w:rsid w:val="008A2937"/>
    <w:rsid w:val="008A297E"/>
    <w:rsid w:val="008A2BE1"/>
    <w:rsid w:val="008A6BA3"/>
    <w:rsid w:val="008A6D08"/>
    <w:rsid w:val="008B113C"/>
    <w:rsid w:val="008B23F2"/>
    <w:rsid w:val="008B466B"/>
    <w:rsid w:val="008B4D4A"/>
    <w:rsid w:val="008B7032"/>
    <w:rsid w:val="008C0F35"/>
    <w:rsid w:val="008C1CF3"/>
    <w:rsid w:val="008C4115"/>
    <w:rsid w:val="008C6B2C"/>
    <w:rsid w:val="008C7C98"/>
    <w:rsid w:val="008D0CF2"/>
    <w:rsid w:val="008D29D0"/>
    <w:rsid w:val="008D2FED"/>
    <w:rsid w:val="008D48C7"/>
    <w:rsid w:val="008D55F4"/>
    <w:rsid w:val="008D7653"/>
    <w:rsid w:val="008D7AF0"/>
    <w:rsid w:val="008D7FEE"/>
    <w:rsid w:val="008E3E57"/>
    <w:rsid w:val="008E45C6"/>
    <w:rsid w:val="008E5C48"/>
    <w:rsid w:val="008E62E4"/>
    <w:rsid w:val="008F05E1"/>
    <w:rsid w:val="008F1260"/>
    <w:rsid w:val="008F3BF6"/>
    <w:rsid w:val="008F3D0C"/>
    <w:rsid w:val="008F62BB"/>
    <w:rsid w:val="008F6E35"/>
    <w:rsid w:val="008F7AC7"/>
    <w:rsid w:val="00900450"/>
    <w:rsid w:val="00900A89"/>
    <w:rsid w:val="00900FE5"/>
    <w:rsid w:val="009033DA"/>
    <w:rsid w:val="00905E63"/>
    <w:rsid w:val="0090614E"/>
    <w:rsid w:val="0091083C"/>
    <w:rsid w:val="009116C7"/>
    <w:rsid w:val="00911DEB"/>
    <w:rsid w:val="00914225"/>
    <w:rsid w:val="009162FE"/>
    <w:rsid w:val="00916A11"/>
    <w:rsid w:val="00920936"/>
    <w:rsid w:val="009222BF"/>
    <w:rsid w:val="00924809"/>
    <w:rsid w:val="00924FF1"/>
    <w:rsid w:val="009255DC"/>
    <w:rsid w:val="00930B26"/>
    <w:rsid w:val="00934BFA"/>
    <w:rsid w:val="00936DC7"/>
    <w:rsid w:val="0094002F"/>
    <w:rsid w:val="00940770"/>
    <w:rsid w:val="009462F6"/>
    <w:rsid w:val="009475B0"/>
    <w:rsid w:val="00947D24"/>
    <w:rsid w:val="009539FB"/>
    <w:rsid w:val="00953E11"/>
    <w:rsid w:val="0096012D"/>
    <w:rsid w:val="00960FFC"/>
    <w:rsid w:val="009624FC"/>
    <w:rsid w:val="00962F85"/>
    <w:rsid w:val="00964586"/>
    <w:rsid w:val="00965AEE"/>
    <w:rsid w:val="00967248"/>
    <w:rsid w:val="00972309"/>
    <w:rsid w:val="009723E7"/>
    <w:rsid w:val="0097315E"/>
    <w:rsid w:val="00973503"/>
    <w:rsid w:val="009809C7"/>
    <w:rsid w:val="009819E8"/>
    <w:rsid w:val="0098279F"/>
    <w:rsid w:val="009855F8"/>
    <w:rsid w:val="0098582D"/>
    <w:rsid w:val="00993748"/>
    <w:rsid w:val="009950CE"/>
    <w:rsid w:val="00996091"/>
    <w:rsid w:val="009A1380"/>
    <w:rsid w:val="009A7B52"/>
    <w:rsid w:val="009B024C"/>
    <w:rsid w:val="009B1D40"/>
    <w:rsid w:val="009B2770"/>
    <w:rsid w:val="009B299B"/>
    <w:rsid w:val="009B4479"/>
    <w:rsid w:val="009B5447"/>
    <w:rsid w:val="009B7694"/>
    <w:rsid w:val="009B7E9A"/>
    <w:rsid w:val="009C062B"/>
    <w:rsid w:val="009C075E"/>
    <w:rsid w:val="009C15CA"/>
    <w:rsid w:val="009C2531"/>
    <w:rsid w:val="009C2DC9"/>
    <w:rsid w:val="009C3183"/>
    <w:rsid w:val="009C56C1"/>
    <w:rsid w:val="009C7157"/>
    <w:rsid w:val="009C7B62"/>
    <w:rsid w:val="009D26FA"/>
    <w:rsid w:val="009D36C3"/>
    <w:rsid w:val="009D53E5"/>
    <w:rsid w:val="009D649C"/>
    <w:rsid w:val="009D7579"/>
    <w:rsid w:val="009E11B4"/>
    <w:rsid w:val="009E351A"/>
    <w:rsid w:val="009E4017"/>
    <w:rsid w:val="009E49F1"/>
    <w:rsid w:val="009E67A0"/>
    <w:rsid w:val="009F03A3"/>
    <w:rsid w:val="009F22F9"/>
    <w:rsid w:val="009F2D9B"/>
    <w:rsid w:val="009F5666"/>
    <w:rsid w:val="00A005DC"/>
    <w:rsid w:val="00A020B7"/>
    <w:rsid w:val="00A02F56"/>
    <w:rsid w:val="00A04909"/>
    <w:rsid w:val="00A057E2"/>
    <w:rsid w:val="00A05A8D"/>
    <w:rsid w:val="00A0610C"/>
    <w:rsid w:val="00A06732"/>
    <w:rsid w:val="00A06982"/>
    <w:rsid w:val="00A07497"/>
    <w:rsid w:val="00A07EF7"/>
    <w:rsid w:val="00A114FF"/>
    <w:rsid w:val="00A141D1"/>
    <w:rsid w:val="00A17901"/>
    <w:rsid w:val="00A179FF"/>
    <w:rsid w:val="00A20562"/>
    <w:rsid w:val="00A20777"/>
    <w:rsid w:val="00A21250"/>
    <w:rsid w:val="00A2293C"/>
    <w:rsid w:val="00A230A6"/>
    <w:rsid w:val="00A23E7C"/>
    <w:rsid w:val="00A242B4"/>
    <w:rsid w:val="00A24DFC"/>
    <w:rsid w:val="00A25256"/>
    <w:rsid w:val="00A3074E"/>
    <w:rsid w:val="00A30BAC"/>
    <w:rsid w:val="00A34BD7"/>
    <w:rsid w:val="00A35610"/>
    <w:rsid w:val="00A3719A"/>
    <w:rsid w:val="00A402E0"/>
    <w:rsid w:val="00A40EA6"/>
    <w:rsid w:val="00A41ED9"/>
    <w:rsid w:val="00A43A2D"/>
    <w:rsid w:val="00A46396"/>
    <w:rsid w:val="00A47DA2"/>
    <w:rsid w:val="00A500AA"/>
    <w:rsid w:val="00A503F5"/>
    <w:rsid w:val="00A52538"/>
    <w:rsid w:val="00A54ED3"/>
    <w:rsid w:val="00A558FE"/>
    <w:rsid w:val="00A576F5"/>
    <w:rsid w:val="00A6202C"/>
    <w:rsid w:val="00A62256"/>
    <w:rsid w:val="00A63808"/>
    <w:rsid w:val="00A6449D"/>
    <w:rsid w:val="00A65AC9"/>
    <w:rsid w:val="00A65F71"/>
    <w:rsid w:val="00A66541"/>
    <w:rsid w:val="00A66D29"/>
    <w:rsid w:val="00A66F27"/>
    <w:rsid w:val="00A67183"/>
    <w:rsid w:val="00A71D1F"/>
    <w:rsid w:val="00A72B09"/>
    <w:rsid w:val="00A72DA0"/>
    <w:rsid w:val="00A77665"/>
    <w:rsid w:val="00A77EBC"/>
    <w:rsid w:val="00A80FC3"/>
    <w:rsid w:val="00A81E22"/>
    <w:rsid w:val="00A873B7"/>
    <w:rsid w:val="00A9095A"/>
    <w:rsid w:val="00A948F2"/>
    <w:rsid w:val="00A94BCC"/>
    <w:rsid w:val="00A94EF2"/>
    <w:rsid w:val="00A9563D"/>
    <w:rsid w:val="00A96E68"/>
    <w:rsid w:val="00A97D01"/>
    <w:rsid w:val="00AA0176"/>
    <w:rsid w:val="00AA23B9"/>
    <w:rsid w:val="00AA2ECD"/>
    <w:rsid w:val="00AA715A"/>
    <w:rsid w:val="00AB0044"/>
    <w:rsid w:val="00AB010D"/>
    <w:rsid w:val="00AB1472"/>
    <w:rsid w:val="00AB31D7"/>
    <w:rsid w:val="00AB3D26"/>
    <w:rsid w:val="00AC3F3A"/>
    <w:rsid w:val="00AC4B5B"/>
    <w:rsid w:val="00AC5866"/>
    <w:rsid w:val="00AD2AF3"/>
    <w:rsid w:val="00AD3560"/>
    <w:rsid w:val="00AD3F27"/>
    <w:rsid w:val="00AD5144"/>
    <w:rsid w:val="00AD6667"/>
    <w:rsid w:val="00AD6D7C"/>
    <w:rsid w:val="00AD6DB4"/>
    <w:rsid w:val="00AD7240"/>
    <w:rsid w:val="00AD7644"/>
    <w:rsid w:val="00AD7C7F"/>
    <w:rsid w:val="00AE1F4E"/>
    <w:rsid w:val="00AE2A78"/>
    <w:rsid w:val="00AE2EAB"/>
    <w:rsid w:val="00AE3B4D"/>
    <w:rsid w:val="00AF0034"/>
    <w:rsid w:val="00AF15CD"/>
    <w:rsid w:val="00AF7024"/>
    <w:rsid w:val="00B02C9C"/>
    <w:rsid w:val="00B0396A"/>
    <w:rsid w:val="00B07238"/>
    <w:rsid w:val="00B12B07"/>
    <w:rsid w:val="00B12B56"/>
    <w:rsid w:val="00B141ED"/>
    <w:rsid w:val="00B20400"/>
    <w:rsid w:val="00B20BA8"/>
    <w:rsid w:val="00B20E83"/>
    <w:rsid w:val="00B267C6"/>
    <w:rsid w:val="00B31DC4"/>
    <w:rsid w:val="00B328F2"/>
    <w:rsid w:val="00B33EA0"/>
    <w:rsid w:val="00B34532"/>
    <w:rsid w:val="00B34BFD"/>
    <w:rsid w:val="00B36E42"/>
    <w:rsid w:val="00B37B3C"/>
    <w:rsid w:val="00B40C26"/>
    <w:rsid w:val="00B422AA"/>
    <w:rsid w:val="00B44FA4"/>
    <w:rsid w:val="00B463A4"/>
    <w:rsid w:val="00B46F86"/>
    <w:rsid w:val="00B50D19"/>
    <w:rsid w:val="00B50EC5"/>
    <w:rsid w:val="00B53946"/>
    <w:rsid w:val="00B54274"/>
    <w:rsid w:val="00B546B5"/>
    <w:rsid w:val="00B54A77"/>
    <w:rsid w:val="00B55D54"/>
    <w:rsid w:val="00B567D1"/>
    <w:rsid w:val="00B56EC3"/>
    <w:rsid w:val="00B57904"/>
    <w:rsid w:val="00B57EA8"/>
    <w:rsid w:val="00B61C1A"/>
    <w:rsid w:val="00B64969"/>
    <w:rsid w:val="00B64F75"/>
    <w:rsid w:val="00B65542"/>
    <w:rsid w:val="00B659F9"/>
    <w:rsid w:val="00B65A6D"/>
    <w:rsid w:val="00B66C4D"/>
    <w:rsid w:val="00B67632"/>
    <w:rsid w:val="00B72361"/>
    <w:rsid w:val="00B72D91"/>
    <w:rsid w:val="00B73A0F"/>
    <w:rsid w:val="00B75D5C"/>
    <w:rsid w:val="00B806FF"/>
    <w:rsid w:val="00B80993"/>
    <w:rsid w:val="00B82211"/>
    <w:rsid w:val="00B82405"/>
    <w:rsid w:val="00B824BF"/>
    <w:rsid w:val="00B8737C"/>
    <w:rsid w:val="00B91300"/>
    <w:rsid w:val="00B91CFD"/>
    <w:rsid w:val="00B924A9"/>
    <w:rsid w:val="00B93EB0"/>
    <w:rsid w:val="00B94380"/>
    <w:rsid w:val="00B9756D"/>
    <w:rsid w:val="00B9778D"/>
    <w:rsid w:val="00BA2373"/>
    <w:rsid w:val="00BA57C8"/>
    <w:rsid w:val="00BA6B8D"/>
    <w:rsid w:val="00BB4968"/>
    <w:rsid w:val="00BB583C"/>
    <w:rsid w:val="00BB7780"/>
    <w:rsid w:val="00BC03D4"/>
    <w:rsid w:val="00BC244F"/>
    <w:rsid w:val="00BC2951"/>
    <w:rsid w:val="00BC34FA"/>
    <w:rsid w:val="00BC4D18"/>
    <w:rsid w:val="00BC62F9"/>
    <w:rsid w:val="00BC7041"/>
    <w:rsid w:val="00BD07AA"/>
    <w:rsid w:val="00BD0AC1"/>
    <w:rsid w:val="00BD324F"/>
    <w:rsid w:val="00BD5968"/>
    <w:rsid w:val="00BD5BC7"/>
    <w:rsid w:val="00BD6396"/>
    <w:rsid w:val="00BD6DAF"/>
    <w:rsid w:val="00BE203B"/>
    <w:rsid w:val="00BE296F"/>
    <w:rsid w:val="00BE6FE6"/>
    <w:rsid w:val="00BE70B8"/>
    <w:rsid w:val="00BE74C6"/>
    <w:rsid w:val="00BE75EB"/>
    <w:rsid w:val="00BF0791"/>
    <w:rsid w:val="00BF08F5"/>
    <w:rsid w:val="00BF1414"/>
    <w:rsid w:val="00BF1861"/>
    <w:rsid w:val="00BF1F57"/>
    <w:rsid w:val="00BF3376"/>
    <w:rsid w:val="00BF4472"/>
    <w:rsid w:val="00C00EA7"/>
    <w:rsid w:val="00C01F3E"/>
    <w:rsid w:val="00C01F4B"/>
    <w:rsid w:val="00C02B7D"/>
    <w:rsid w:val="00C02D57"/>
    <w:rsid w:val="00C04B17"/>
    <w:rsid w:val="00C05A81"/>
    <w:rsid w:val="00C06030"/>
    <w:rsid w:val="00C0643D"/>
    <w:rsid w:val="00C064BE"/>
    <w:rsid w:val="00C06879"/>
    <w:rsid w:val="00C0755F"/>
    <w:rsid w:val="00C11439"/>
    <w:rsid w:val="00C120DB"/>
    <w:rsid w:val="00C14B07"/>
    <w:rsid w:val="00C20A28"/>
    <w:rsid w:val="00C23942"/>
    <w:rsid w:val="00C24AFF"/>
    <w:rsid w:val="00C253FF"/>
    <w:rsid w:val="00C25DC0"/>
    <w:rsid w:val="00C262CE"/>
    <w:rsid w:val="00C26C7F"/>
    <w:rsid w:val="00C26FA6"/>
    <w:rsid w:val="00C275B3"/>
    <w:rsid w:val="00C306D1"/>
    <w:rsid w:val="00C3133D"/>
    <w:rsid w:val="00C3342B"/>
    <w:rsid w:val="00C3573D"/>
    <w:rsid w:val="00C45578"/>
    <w:rsid w:val="00C46F48"/>
    <w:rsid w:val="00C46FE0"/>
    <w:rsid w:val="00C47CDF"/>
    <w:rsid w:val="00C5024F"/>
    <w:rsid w:val="00C50F94"/>
    <w:rsid w:val="00C52021"/>
    <w:rsid w:val="00C54295"/>
    <w:rsid w:val="00C5582D"/>
    <w:rsid w:val="00C56A99"/>
    <w:rsid w:val="00C57CD2"/>
    <w:rsid w:val="00C62988"/>
    <w:rsid w:val="00C65ABF"/>
    <w:rsid w:val="00C65C35"/>
    <w:rsid w:val="00C6631E"/>
    <w:rsid w:val="00C6756F"/>
    <w:rsid w:val="00C72812"/>
    <w:rsid w:val="00C73AFB"/>
    <w:rsid w:val="00C8093D"/>
    <w:rsid w:val="00C84FBD"/>
    <w:rsid w:val="00C86476"/>
    <w:rsid w:val="00C9047B"/>
    <w:rsid w:val="00C90EE4"/>
    <w:rsid w:val="00C92702"/>
    <w:rsid w:val="00C927F0"/>
    <w:rsid w:val="00C9469B"/>
    <w:rsid w:val="00C95A04"/>
    <w:rsid w:val="00C96000"/>
    <w:rsid w:val="00C96684"/>
    <w:rsid w:val="00C96B18"/>
    <w:rsid w:val="00C96EE6"/>
    <w:rsid w:val="00CA093D"/>
    <w:rsid w:val="00CB25EA"/>
    <w:rsid w:val="00CB311E"/>
    <w:rsid w:val="00CB3B0C"/>
    <w:rsid w:val="00CB3C6B"/>
    <w:rsid w:val="00CB5A09"/>
    <w:rsid w:val="00CB6FC5"/>
    <w:rsid w:val="00CB7304"/>
    <w:rsid w:val="00CB7314"/>
    <w:rsid w:val="00CC1526"/>
    <w:rsid w:val="00CC1605"/>
    <w:rsid w:val="00CC2E81"/>
    <w:rsid w:val="00CC2F13"/>
    <w:rsid w:val="00CC3307"/>
    <w:rsid w:val="00CC7286"/>
    <w:rsid w:val="00CD1FEC"/>
    <w:rsid w:val="00CD3728"/>
    <w:rsid w:val="00CD6C01"/>
    <w:rsid w:val="00CD6DF5"/>
    <w:rsid w:val="00CE0299"/>
    <w:rsid w:val="00CE2384"/>
    <w:rsid w:val="00CE23DC"/>
    <w:rsid w:val="00CE296C"/>
    <w:rsid w:val="00CE4C4C"/>
    <w:rsid w:val="00CE5630"/>
    <w:rsid w:val="00CE6CE5"/>
    <w:rsid w:val="00CF0FB7"/>
    <w:rsid w:val="00CF17A2"/>
    <w:rsid w:val="00CF31A2"/>
    <w:rsid w:val="00CF3D4D"/>
    <w:rsid w:val="00CF57E1"/>
    <w:rsid w:val="00CF6785"/>
    <w:rsid w:val="00D00E5C"/>
    <w:rsid w:val="00D02430"/>
    <w:rsid w:val="00D026A1"/>
    <w:rsid w:val="00D03D27"/>
    <w:rsid w:val="00D06119"/>
    <w:rsid w:val="00D079EF"/>
    <w:rsid w:val="00D10513"/>
    <w:rsid w:val="00D13082"/>
    <w:rsid w:val="00D1369E"/>
    <w:rsid w:val="00D14219"/>
    <w:rsid w:val="00D15B16"/>
    <w:rsid w:val="00D17BCC"/>
    <w:rsid w:val="00D21499"/>
    <w:rsid w:val="00D2162D"/>
    <w:rsid w:val="00D21B76"/>
    <w:rsid w:val="00D22F21"/>
    <w:rsid w:val="00D249FB"/>
    <w:rsid w:val="00D25DC3"/>
    <w:rsid w:val="00D26B26"/>
    <w:rsid w:val="00D30670"/>
    <w:rsid w:val="00D314BA"/>
    <w:rsid w:val="00D316CE"/>
    <w:rsid w:val="00D321FD"/>
    <w:rsid w:val="00D36744"/>
    <w:rsid w:val="00D4041F"/>
    <w:rsid w:val="00D41A28"/>
    <w:rsid w:val="00D43A5D"/>
    <w:rsid w:val="00D45AB7"/>
    <w:rsid w:val="00D50DAC"/>
    <w:rsid w:val="00D510F4"/>
    <w:rsid w:val="00D56B4C"/>
    <w:rsid w:val="00D56DBA"/>
    <w:rsid w:val="00D610B1"/>
    <w:rsid w:val="00D61DB0"/>
    <w:rsid w:val="00D63674"/>
    <w:rsid w:val="00D651EA"/>
    <w:rsid w:val="00D65829"/>
    <w:rsid w:val="00D660F6"/>
    <w:rsid w:val="00D6791B"/>
    <w:rsid w:val="00D7013D"/>
    <w:rsid w:val="00D713B1"/>
    <w:rsid w:val="00D73218"/>
    <w:rsid w:val="00D7502F"/>
    <w:rsid w:val="00D75509"/>
    <w:rsid w:val="00D75ECC"/>
    <w:rsid w:val="00D76582"/>
    <w:rsid w:val="00D76D0B"/>
    <w:rsid w:val="00D81743"/>
    <w:rsid w:val="00D82BAA"/>
    <w:rsid w:val="00D84CB5"/>
    <w:rsid w:val="00D85B18"/>
    <w:rsid w:val="00D87556"/>
    <w:rsid w:val="00D90B2C"/>
    <w:rsid w:val="00D9112E"/>
    <w:rsid w:val="00D93172"/>
    <w:rsid w:val="00D93312"/>
    <w:rsid w:val="00D9640D"/>
    <w:rsid w:val="00D978AC"/>
    <w:rsid w:val="00DA05BA"/>
    <w:rsid w:val="00DA0C4A"/>
    <w:rsid w:val="00DA1536"/>
    <w:rsid w:val="00DA4120"/>
    <w:rsid w:val="00DA54FC"/>
    <w:rsid w:val="00DA6A21"/>
    <w:rsid w:val="00DA7F42"/>
    <w:rsid w:val="00DB5CB9"/>
    <w:rsid w:val="00DB60AC"/>
    <w:rsid w:val="00DB650F"/>
    <w:rsid w:val="00DB6A35"/>
    <w:rsid w:val="00DB7A2D"/>
    <w:rsid w:val="00DC02B1"/>
    <w:rsid w:val="00DC4193"/>
    <w:rsid w:val="00DC4254"/>
    <w:rsid w:val="00DC692C"/>
    <w:rsid w:val="00DC7B25"/>
    <w:rsid w:val="00DD03D4"/>
    <w:rsid w:val="00DD3CFF"/>
    <w:rsid w:val="00DD4847"/>
    <w:rsid w:val="00DD57E7"/>
    <w:rsid w:val="00DE3531"/>
    <w:rsid w:val="00DE50B2"/>
    <w:rsid w:val="00DE78AC"/>
    <w:rsid w:val="00E04A27"/>
    <w:rsid w:val="00E0639D"/>
    <w:rsid w:val="00E07606"/>
    <w:rsid w:val="00E076EF"/>
    <w:rsid w:val="00E07BAC"/>
    <w:rsid w:val="00E114D1"/>
    <w:rsid w:val="00E1240A"/>
    <w:rsid w:val="00E130B2"/>
    <w:rsid w:val="00E1761D"/>
    <w:rsid w:val="00E17650"/>
    <w:rsid w:val="00E17B28"/>
    <w:rsid w:val="00E17E5F"/>
    <w:rsid w:val="00E20015"/>
    <w:rsid w:val="00E21806"/>
    <w:rsid w:val="00E21A2B"/>
    <w:rsid w:val="00E22916"/>
    <w:rsid w:val="00E23828"/>
    <w:rsid w:val="00E24B9C"/>
    <w:rsid w:val="00E26593"/>
    <w:rsid w:val="00E26A82"/>
    <w:rsid w:val="00E27417"/>
    <w:rsid w:val="00E277C3"/>
    <w:rsid w:val="00E300EA"/>
    <w:rsid w:val="00E3177E"/>
    <w:rsid w:val="00E329E5"/>
    <w:rsid w:val="00E337A5"/>
    <w:rsid w:val="00E342DF"/>
    <w:rsid w:val="00E345FB"/>
    <w:rsid w:val="00E34AF2"/>
    <w:rsid w:val="00E35E54"/>
    <w:rsid w:val="00E36D73"/>
    <w:rsid w:val="00E36F58"/>
    <w:rsid w:val="00E372E5"/>
    <w:rsid w:val="00E37968"/>
    <w:rsid w:val="00E40F0E"/>
    <w:rsid w:val="00E4210E"/>
    <w:rsid w:val="00E42B0B"/>
    <w:rsid w:val="00E4337F"/>
    <w:rsid w:val="00E43755"/>
    <w:rsid w:val="00E43D71"/>
    <w:rsid w:val="00E50589"/>
    <w:rsid w:val="00E5425D"/>
    <w:rsid w:val="00E54847"/>
    <w:rsid w:val="00E54FCC"/>
    <w:rsid w:val="00E55376"/>
    <w:rsid w:val="00E57564"/>
    <w:rsid w:val="00E65422"/>
    <w:rsid w:val="00E66307"/>
    <w:rsid w:val="00E67162"/>
    <w:rsid w:val="00E67868"/>
    <w:rsid w:val="00E6787E"/>
    <w:rsid w:val="00E70153"/>
    <w:rsid w:val="00E73761"/>
    <w:rsid w:val="00E76144"/>
    <w:rsid w:val="00E772A6"/>
    <w:rsid w:val="00E819A2"/>
    <w:rsid w:val="00E8316B"/>
    <w:rsid w:val="00E83C91"/>
    <w:rsid w:val="00E8559B"/>
    <w:rsid w:val="00E90039"/>
    <w:rsid w:val="00E90639"/>
    <w:rsid w:val="00E92278"/>
    <w:rsid w:val="00E929A0"/>
    <w:rsid w:val="00E93272"/>
    <w:rsid w:val="00EA0484"/>
    <w:rsid w:val="00EA0862"/>
    <w:rsid w:val="00EA2310"/>
    <w:rsid w:val="00EA45C6"/>
    <w:rsid w:val="00EA4692"/>
    <w:rsid w:val="00EB10B3"/>
    <w:rsid w:val="00EB1706"/>
    <w:rsid w:val="00EB2D4F"/>
    <w:rsid w:val="00EB4B30"/>
    <w:rsid w:val="00EB7DB7"/>
    <w:rsid w:val="00EC11D9"/>
    <w:rsid w:val="00EC229F"/>
    <w:rsid w:val="00EC346B"/>
    <w:rsid w:val="00EC45A4"/>
    <w:rsid w:val="00EC4C11"/>
    <w:rsid w:val="00EC4E16"/>
    <w:rsid w:val="00EC4E2D"/>
    <w:rsid w:val="00EC5472"/>
    <w:rsid w:val="00EC6996"/>
    <w:rsid w:val="00EC6B87"/>
    <w:rsid w:val="00EC6E76"/>
    <w:rsid w:val="00ED1369"/>
    <w:rsid w:val="00ED1C3E"/>
    <w:rsid w:val="00ED3F82"/>
    <w:rsid w:val="00ED4A88"/>
    <w:rsid w:val="00ED5E17"/>
    <w:rsid w:val="00ED5F1A"/>
    <w:rsid w:val="00EE1017"/>
    <w:rsid w:val="00EE3402"/>
    <w:rsid w:val="00EE49F0"/>
    <w:rsid w:val="00EF04D7"/>
    <w:rsid w:val="00EF09B9"/>
    <w:rsid w:val="00EF14DC"/>
    <w:rsid w:val="00EF46B3"/>
    <w:rsid w:val="00F03E77"/>
    <w:rsid w:val="00F0467C"/>
    <w:rsid w:val="00F1118C"/>
    <w:rsid w:val="00F12173"/>
    <w:rsid w:val="00F13469"/>
    <w:rsid w:val="00F14AC4"/>
    <w:rsid w:val="00F1502A"/>
    <w:rsid w:val="00F15D6F"/>
    <w:rsid w:val="00F21A5A"/>
    <w:rsid w:val="00F223E8"/>
    <w:rsid w:val="00F2358B"/>
    <w:rsid w:val="00F254DF"/>
    <w:rsid w:val="00F27454"/>
    <w:rsid w:val="00F277D1"/>
    <w:rsid w:val="00F3103A"/>
    <w:rsid w:val="00F357DE"/>
    <w:rsid w:val="00F35FBA"/>
    <w:rsid w:val="00F36A05"/>
    <w:rsid w:val="00F36C24"/>
    <w:rsid w:val="00F3769C"/>
    <w:rsid w:val="00F37E6C"/>
    <w:rsid w:val="00F40A79"/>
    <w:rsid w:val="00F410DD"/>
    <w:rsid w:val="00F411A4"/>
    <w:rsid w:val="00F41F48"/>
    <w:rsid w:val="00F4272A"/>
    <w:rsid w:val="00F43561"/>
    <w:rsid w:val="00F447BA"/>
    <w:rsid w:val="00F4677A"/>
    <w:rsid w:val="00F46954"/>
    <w:rsid w:val="00F47637"/>
    <w:rsid w:val="00F50612"/>
    <w:rsid w:val="00F51C2E"/>
    <w:rsid w:val="00F54481"/>
    <w:rsid w:val="00F54950"/>
    <w:rsid w:val="00F564F9"/>
    <w:rsid w:val="00F60B8D"/>
    <w:rsid w:val="00F61DFA"/>
    <w:rsid w:val="00F62869"/>
    <w:rsid w:val="00F62A6A"/>
    <w:rsid w:val="00F678E6"/>
    <w:rsid w:val="00F70D38"/>
    <w:rsid w:val="00F72508"/>
    <w:rsid w:val="00F726C3"/>
    <w:rsid w:val="00F76130"/>
    <w:rsid w:val="00F77A6C"/>
    <w:rsid w:val="00F8029A"/>
    <w:rsid w:val="00F815EF"/>
    <w:rsid w:val="00F81F43"/>
    <w:rsid w:val="00F83717"/>
    <w:rsid w:val="00F86361"/>
    <w:rsid w:val="00F8741B"/>
    <w:rsid w:val="00F90B46"/>
    <w:rsid w:val="00F94C06"/>
    <w:rsid w:val="00FA0022"/>
    <w:rsid w:val="00FA650C"/>
    <w:rsid w:val="00FA688F"/>
    <w:rsid w:val="00FA69C4"/>
    <w:rsid w:val="00FA7689"/>
    <w:rsid w:val="00FA7BEE"/>
    <w:rsid w:val="00FB1BC9"/>
    <w:rsid w:val="00FB238F"/>
    <w:rsid w:val="00FB2989"/>
    <w:rsid w:val="00FB3794"/>
    <w:rsid w:val="00FB5305"/>
    <w:rsid w:val="00FB5488"/>
    <w:rsid w:val="00FB63E4"/>
    <w:rsid w:val="00FB66A9"/>
    <w:rsid w:val="00FC2447"/>
    <w:rsid w:val="00FC29B4"/>
    <w:rsid w:val="00FC3FE7"/>
    <w:rsid w:val="00FC44A0"/>
    <w:rsid w:val="00FC49FB"/>
    <w:rsid w:val="00FC5CD0"/>
    <w:rsid w:val="00FC5EBD"/>
    <w:rsid w:val="00FC60A9"/>
    <w:rsid w:val="00FC78F3"/>
    <w:rsid w:val="00FD0E14"/>
    <w:rsid w:val="00FD134F"/>
    <w:rsid w:val="00FD2509"/>
    <w:rsid w:val="00FD25B5"/>
    <w:rsid w:val="00FD2607"/>
    <w:rsid w:val="00FD2E86"/>
    <w:rsid w:val="00FD3F85"/>
    <w:rsid w:val="00FD4AD4"/>
    <w:rsid w:val="00FD59A8"/>
    <w:rsid w:val="00FD6291"/>
    <w:rsid w:val="00FD6B61"/>
    <w:rsid w:val="00FD7597"/>
    <w:rsid w:val="00FD7C60"/>
    <w:rsid w:val="00FD7F72"/>
    <w:rsid w:val="00FE02B7"/>
    <w:rsid w:val="00FE0A38"/>
    <w:rsid w:val="00FE1B86"/>
    <w:rsid w:val="00FE2B31"/>
    <w:rsid w:val="00FE2F7D"/>
    <w:rsid w:val="00FE4616"/>
    <w:rsid w:val="00FE4848"/>
    <w:rsid w:val="00FE502B"/>
    <w:rsid w:val="00FE648C"/>
    <w:rsid w:val="00FE73F5"/>
    <w:rsid w:val="00FF0060"/>
    <w:rsid w:val="00FF3116"/>
    <w:rsid w:val="00FF45E3"/>
    <w:rsid w:val="00FF5710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F2"/>
    <w:rPr>
      <w:bCs/>
      <w:sz w:val="24"/>
      <w:szCs w:val="24"/>
    </w:rPr>
  </w:style>
  <w:style w:type="paragraph" w:styleId="1">
    <w:name w:val="heading 1"/>
    <w:basedOn w:val="a"/>
    <w:link w:val="10"/>
    <w:qFormat/>
    <w:rsid w:val="00737E10"/>
    <w:pPr>
      <w:spacing w:before="100" w:beforeAutospacing="1" w:after="100" w:afterAutospacing="1"/>
      <w:outlineLvl w:val="0"/>
    </w:pPr>
    <w:rPr>
      <w:b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E10"/>
    <w:rPr>
      <w:b/>
      <w:bCs/>
      <w:kern w:val="36"/>
      <w:sz w:val="24"/>
      <w:szCs w:val="24"/>
    </w:rPr>
  </w:style>
  <w:style w:type="paragraph" w:styleId="a3">
    <w:name w:val="Title"/>
    <w:basedOn w:val="a"/>
    <w:link w:val="a4"/>
    <w:qFormat/>
    <w:rsid w:val="00737E1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737E10"/>
    <w:rPr>
      <w:b/>
      <w:sz w:val="28"/>
    </w:rPr>
  </w:style>
  <w:style w:type="character" w:styleId="a5">
    <w:name w:val="Strong"/>
    <w:uiPriority w:val="22"/>
    <w:qFormat/>
    <w:rsid w:val="00737E10"/>
    <w:rPr>
      <w:b/>
      <w:bCs/>
    </w:rPr>
  </w:style>
  <w:style w:type="paragraph" w:styleId="a6">
    <w:name w:val="Body Text Indent"/>
    <w:basedOn w:val="a"/>
    <w:link w:val="a7"/>
    <w:uiPriority w:val="99"/>
    <w:rsid w:val="005E06F2"/>
    <w:pPr>
      <w:spacing w:after="120"/>
      <w:ind w:left="283"/>
    </w:pPr>
    <w:rPr>
      <w:rFonts w:eastAsia="Calibri"/>
      <w:bCs w:val="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E06F2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5E06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0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6F2"/>
    <w:rPr>
      <w:rFonts w:ascii="Tahoma" w:hAnsi="Tahoma" w:cs="Tahoma"/>
      <w:bCs/>
      <w:sz w:val="16"/>
      <w:szCs w:val="16"/>
    </w:rPr>
  </w:style>
  <w:style w:type="paragraph" w:styleId="ab">
    <w:name w:val="Body Text"/>
    <w:basedOn w:val="a"/>
    <w:link w:val="ac"/>
    <w:uiPriority w:val="99"/>
    <w:rsid w:val="00DD3CFF"/>
    <w:pPr>
      <w:spacing w:after="120"/>
    </w:pPr>
    <w:rPr>
      <w:bCs w:val="0"/>
    </w:rPr>
  </w:style>
  <w:style w:type="character" w:customStyle="1" w:styleId="ac">
    <w:name w:val="Основной текст Знак"/>
    <w:basedOn w:val="a0"/>
    <w:link w:val="ab"/>
    <w:uiPriority w:val="99"/>
    <w:rsid w:val="00DD3CFF"/>
    <w:rPr>
      <w:sz w:val="24"/>
      <w:szCs w:val="24"/>
    </w:rPr>
  </w:style>
  <w:style w:type="table" w:styleId="ad">
    <w:name w:val="Table Grid"/>
    <w:basedOn w:val="a1"/>
    <w:uiPriority w:val="59"/>
    <w:rsid w:val="001938D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ED11-B354-4540-986F-14C6005D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Очиров</cp:lastModifiedBy>
  <cp:revision>4</cp:revision>
  <cp:lastPrinted>2020-05-07T03:36:00Z</cp:lastPrinted>
  <dcterms:created xsi:type="dcterms:W3CDTF">2020-05-07T03:23:00Z</dcterms:created>
  <dcterms:modified xsi:type="dcterms:W3CDTF">2020-05-07T03:39:00Z</dcterms:modified>
</cp:coreProperties>
</file>